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390" w14:textId="77777777" w:rsidR="00915A2A" w:rsidRDefault="00915A2A"/>
    <w:tbl>
      <w:tblPr>
        <w:tblW w:w="10340" w:type="dxa"/>
        <w:shd w:val="clear" w:color="auto" w:fill="FFFFFF"/>
        <w:tblLayout w:type="fixed"/>
        <w:tblCellMar>
          <w:left w:w="0" w:type="dxa"/>
          <w:right w:w="0" w:type="dxa"/>
        </w:tblCellMar>
        <w:tblLook w:val="04A0" w:firstRow="1" w:lastRow="0" w:firstColumn="1" w:lastColumn="0" w:noHBand="0" w:noVBand="1"/>
      </w:tblPr>
      <w:tblGrid>
        <w:gridCol w:w="4245"/>
        <w:gridCol w:w="6095"/>
      </w:tblGrid>
      <w:tr w:rsidR="008B0303" w:rsidRPr="008B0303" w14:paraId="290C03EE" w14:textId="77777777" w:rsidTr="008B0303">
        <w:tc>
          <w:tcPr>
            <w:tcW w:w="10340" w:type="dxa"/>
            <w:gridSpan w:val="2"/>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14:paraId="1E652368"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Verdana" w:eastAsia="Times New Roman" w:hAnsi="Verdana" w:cs="Times New Roman"/>
                <w:b/>
                <w:bCs/>
                <w:color w:val="333333"/>
                <w:kern w:val="0"/>
                <w:sz w:val="17"/>
                <w:szCs w:val="17"/>
                <w:lang w:eastAsia="en-AU"/>
                <w14:ligatures w14:val="none"/>
              </w:rPr>
              <w:t>Construction of Hydro Power Generation and Evacuation System in Vanuatu</w:t>
            </w:r>
          </w:p>
        </w:tc>
      </w:tr>
      <w:tr w:rsidR="008B0303" w:rsidRPr="008B0303" w14:paraId="739E26D2" w14:textId="77777777" w:rsidTr="00150889">
        <w:tc>
          <w:tcPr>
            <w:tcW w:w="4245" w:type="dxa"/>
            <w:tcBorders>
              <w:top w:val="single" w:sz="6" w:space="0" w:color="CCCCCC"/>
              <w:left w:val="single" w:sz="6" w:space="0" w:color="CCCCCC"/>
              <w:bottom w:val="single" w:sz="6" w:space="0" w:color="CCCCCC"/>
              <w:right w:val="single" w:sz="6" w:space="0" w:color="CCCCCC"/>
            </w:tcBorders>
            <w:shd w:val="clear" w:color="auto" w:fill="FFFFFF"/>
            <w:noWrap/>
            <w:tcMar>
              <w:top w:w="45" w:type="dxa"/>
              <w:left w:w="75" w:type="dxa"/>
              <w:bottom w:w="45" w:type="dxa"/>
              <w:right w:w="75" w:type="dxa"/>
            </w:tcMar>
            <w:hideMark/>
          </w:tcPr>
          <w:p w14:paraId="4CFF8F50"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Verdana" w:eastAsia="Times New Roman" w:hAnsi="Verdana" w:cs="Times New Roman"/>
                <w:color w:val="333333"/>
                <w:kern w:val="0"/>
                <w:sz w:val="17"/>
                <w:szCs w:val="17"/>
                <w:lang w:eastAsia="en-AU"/>
                <w14:ligatures w14:val="none"/>
              </w:rPr>
              <w:t>Procurement Process :</w:t>
            </w:r>
          </w:p>
        </w:tc>
        <w:tc>
          <w:tcPr>
            <w:tcW w:w="6095"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329BF57"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Verdana" w:eastAsia="Times New Roman" w:hAnsi="Verdana" w:cs="Times New Roman"/>
                <w:color w:val="333333"/>
                <w:kern w:val="0"/>
                <w:sz w:val="17"/>
                <w:szCs w:val="17"/>
                <w:lang w:eastAsia="en-AU"/>
                <w14:ligatures w14:val="none"/>
              </w:rPr>
              <w:t>ITB - Invitation to bid</w:t>
            </w:r>
          </w:p>
        </w:tc>
      </w:tr>
      <w:tr w:rsidR="008B0303" w:rsidRPr="008B0303" w14:paraId="3AECCE6D" w14:textId="77777777" w:rsidTr="00150889">
        <w:tc>
          <w:tcPr>
            <w:tcW w:w="4245" w:type="dxa"/>
            <w:tcBorders>
              <w:top w:val="single" w:sz="6" w:space="0" w:color="CCCCCC"/>
              <w:left w:val="single" w:sz="6" w:space="0" w:color="CCCCCC"/>
              <w:bottom w:val="single" w:sz="6" w:space="0" w:color="CCCCCC"/>
              <w:right w:val="single" w:sz="6" w:space="0" w:color="CCCCCC"/>
            </w:tcBorders>
            <w:shd w:val="clear" w:color="auto" w:fill="FFFFFF"/>
            <w:noWrap/>
            <w:tcMar>
              <w:top w:w="45" w:type="dxa"/>
              <w:left w:w="75" w:type="dxa"/>
              <w:bottom w:w="45" w:type="dxa"/>
              <w:right w:w="75" w:type="dxa"/>
            </w:tcMar>
            <w:hideMark/>
          </w:tcPr>
          <w:p w14:paraId="15444BAB" w14:textId="25082961"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Verdana" w:eastAsia="Times New Roman" w:hAnsi="Verdana" w:cs="Times New Roman"/>
                <w:color w:val="333333"/>
                <w:kern w:val="0"/>
                <w:sz w:val="17"/>
                <w:szCs w:val="17"/>
                <w:lang w:eastAsia="en-AU"/>
                <w14:ligatures w14:val="none"/>
              </w:rPr>
              <w:t>Office:</w:t>
            </w:r>
          </w:p>
        </w:tc>
        <w:tc>
          <w:tcPr>
            <w:tcW w:w="6095"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8178F99"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Verdana" w:eastAsia="Times New Roman" w:hAnsi="Verdana" w:cs="Times New Roman"/>
                <w:color w:val="333333"/>
                <w:kern w:val="0"/>
                <w:sz w:val="17"/>
                <w:szCs w:val="17"/>
                <w:lang w:eastAsia="en-AU"/>
                <w14:ligatures w14:val="none"/>
              </w:rPr>
              <w:t>UNDP-PSU - VANUATU</w:t>
            </w:r>
          </w:p>
        </w:tc>
      </w:tr>
      <w:tr w:rsidR="008B0303" w:rsidRPr="008B0303" w14:paraId="7299B9A0" w14:textId="77777777" w:rsidTr="00150889">
        <w:tc>
          <w:tcPr>
            <w:tcW w:w="4245"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29B81087" w14:textId="69E8DA36"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Verdana" w:eastAsia="Times New Roman" w:hAnsi="Verdana" w:cs="Times New Roman"/>
                <w:color w:val="333333"/>
                <w:kern w:val="0"/>
                <w:sz w:val="17"/>
                <w:szCs w:val="17"/>
                <w:lang w:eastAsia="en-AU"/>
                <w14:ligatures w14:val="none"/>
              </w:rPr>
              <w:t>Deadline:</w:t>
            </w:r>
          </w:p>
        </w:tc>
        <w:tc>
          <w:tcPr>
            <w:tcW w:w="6095"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55ED839"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Verdana" w:eastAsia="Times New Roman" w:hAnsi="Verdana" w:cs="Times New Roman"/>
                <w:color w:val="333333"/>
                <w:kern w:val="0"/>
                <w:sz w:val="17"/>
                <w:szCs w:val="17"/>
                <w:lang w:eastAsia="en-AU"/>
                <w14:ligatures w14:val="none"/>
              </w:rPr>
              <w:t>03-Apr-24 @ 04:00 AM (New York time)</w:t>
            </w:r>
          </w:p>
        </w:tc>
      </w:tr>
      <w:tr w:rsidR="008B0303" w:rsidRPr="008B0303" w14:paraId="1DF5EBD9" w14:textId="77777777" w:rsidTr="00150889">
        <w:tc>
          <w:tcPr>
            <w:tcW w:w="4245"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E7334CD" w14:textId="1FA1DCF1"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Verdana" w:eastAsia="Times New Roman" w:hAnsi="Verdana" w:cs="Times New Roman"/>
                <w:color w:val="333333"/>
                <w:kern w:val="0"/>
                <w:sz w:val="17"/>
                <w:szCs w:val="17"/>
                <w:lang w:eastAsia="en-AU"/>
                <w14:ligatures w14:val="none"/>
              </w:rPr>
              <w:t>Published on:</w:t>
            </w:r>
          </w:p>
        </w:tc>
        <w:tc>
          <w:tcPr>
            <w:tcW w:w="6095"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4BD51BE"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Verdana" w:eastAsia="Times New Roman" w:hAnsi="Verdana" w:cs="Times New Roman"/>
                <w:color w:val="333333"/>
                <w:kern w:val="0"/>
                <w:sz w:val="17"/>
                <w:szCs w:val="17"/>
                <w:lang w:eastAsia="en-AU"/>
                <w14:ligatures w14:val="none"/>
              </w:rPr>
              <w:t>05-Mar-24 @ 12:00 AM (New York time)</w:t>
            </w:r>
          </w:p>
        </w:tc>
      </w:tr>
      <w:tr w:rsidR="008B0303" w:rsidRPr="008B0303" w14:paraId="558E5DDF" w14:textId="77777777" w:rsidTr="00150889">
        <w:tc>
          <w:tcPr>
            <w:tcW w:w="4245"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7E65A730" w14:textId="1FA5BF0D"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Verdana" w:eastAsia="Times New Roman" w:hAnsi="Verdana" w:cs="Times New Roman"/>
                <w:color w:val="333333"/>
                <w:kern w:val="0"/>
                <w:sz w:val="17"/>
                <w:szCs w:val="17"/>
                <w:lang w:eastAsia="en-AU"/>
                <w14:ligatures w14:val="none"/>
              </w:rPr>
              <w:t>Development Area:</w:t>
            </w:r>
          </w:p>
        </w:tc>
        <w:tc>
          <w:tcPr>
            <w:tcW w:w="6095"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CCBE7F5" w14:textId="2E46A938"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Verdana" w:eastAsia="Times New Roman" w:hAnsi="Verdana" w:cs="Times New Roman"/>
                <w:color w:val="333333"/>
                <w:kern w:val="0"/>
                <w:sz w:val="17"/>
                <w:szCs w:val="17"/>
                <w:lang w:eastAsia="en-AU"/>
                <w14:ligatures w14:val="none"/>
              </w:rPr>
              <w:t>OTHER  </w:t>
            </w:r>
            <w:r w:rsidRPr="008B0303">
              <w:rPr>
                <w:rFonts w:ascii="Verdana" w:eastAsia="Times New Roman" w:hAnsi="Verdana" w:cs="Times New Roman"/>
                <w:noProof/>
                <w:color w:val="333333"/>
                <w:kern w:val="0"/>
                <w:sz w:val="17"/>
                <w:szCs w:val="17"/>
                <w:lang w:eastAsia="en-AU"/>
                <w14:ligatures w14:val="none"/>
              </w:rPr>
              <w:drawing>
                <wp:inline distT="0" distB="0" distL="0" distR="0" wp14:anchorId="4B267BB8" wp14:editId="153F08F0">
                  <wp:extent cx="384175" cy="384175"/>
                  <wp:effectExtent l="0" t="0" r="0" b="0"/>
                  <wp:docPr id="448427732" name="Picture 1" descr="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a:ln>
                            <a:noFill/>
                          </a:ln>
                        </pic:spPr>
                      </pic:pic>
                    </a:graphicData>
                  </a:graphic>
                </wp:inline>
              </w:drawing>
            </w:r>
          </w:p>
        </w:tc>
      </w:tr>
      <w:tr w:rsidR="008B0303" w:rsidRPr="008B0303" w14:paraId="5E8115B6" w14:textId="77777777" w:rsidTr="00150889">
        <w:tc>
          <w:tcPr>
            <w:tcW w:w="4245"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1B412DF" w14:textId="349F23B9"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Verdana" w:eastAsia="Times New Roman" w:hAnsi="Verdana" w:cs="Times New Roman"/>
                <w:color w:val="333333"/>
                <w:kern w:val="0"/>
                <w:sz w:val="17"/>
                <w:szCs w:val="17"/>
                <w:lang w:eastAsia="en-AU"/>
                <w14:ligatures w14:val="none"/>
              </w:rPr>
              <w:t>Reference Number:</w:t>
            </w:r>
          </w:p>
        </w:tc>
        <w:tc>
          <w:tcPr>
            <w:tcW w:w="6095"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0444CD35"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Verdana" w:eastAsia="Times New Roman" w:hAnsi="Verdana" w:cs="Times New Roman"/>
                <w:color w:val="333333"/>
                <w:kern w:val="0"/>
                <w:sz w:val="17"/>
                <w:szCs w:val="17"/>
                <w:lang w:eastAsia="en-AU"/>
                <w14:ligatures w14:val="none"/>
              </w:rPr>
              <w:t>UNDP-PSU-00513</w:t>
            </w:r>
          </w:p>
        </w:tc>
      </w:tr>
      <w:tr w:rsidR="008B0303" w:rsidRPr="008B0303" w14:paraId="7228628E" w14:textId="77777777" w:rsidTr="00150889">
        <w:tc>
          <w:tcPr>
            <w:tcW w:w="4245"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92ACE72" w14:textId="582A4D6B"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Verdana" w:eastAsia="Times New Roman" w:hAnsi="Verdana" w:cs="Times New Roman"/>
                <w:color w:val="333333"/>
                <w:kern w:val="0"/>
                <w:sz w:val="17"/>
                <w:szCs w:val="17"/>
                <w:lang w:eastAsia="en-AU"/>
                <w14:ligatures w14:val="none"/>
              </w:rPr>
              <w:t>Contact:</w:t>
            </w:r>
          </w:p>
        </w:tc>
        <w:tc>
          <w:tcPr>
            <w:tcW w:w="6095"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A3EB166"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proofErr w:type="spellStart"/>
            <w:r w:rsidRPr="008B0303">
              <w:rPr>
                <w:rFonts w:ascii="Verdana" w:eastAsia="Times New Roman" w:hAnsi="Verdana" w:cs="Times New Roman"/>
                <w:color w:val="333333"/>
                <w:kern w:val="0"/>
                <w:sz w:val="17"/>
                <w:szCs w:val="17"/>
                <w:lang w:eastAsia="en-AU"/>
                <w14:ligatures w14:val="none"/>
              </w:rPr>
              <w:t>Azaharudin</w:t>
            </w:r>
            <w:proofErr w:type="spellEnd"/>
            <w:r w:rsidRPr="008B0303">
              <w:rPr>
                <w:rFonts w:ascii="Verdana" w:eastAsia="Times New Roman" w:hAnsi="Verdana" w:cs="Times New Roman"/>
                <w:color w:val="333333"/>
                <w:kern w:val="0"/>
                <w:sz w:val="17"/>
                <w:szCs w:val="17"/>
                <w:lang w:eastAsia="en-AU"/>
                <w14:ligatures w14:val="none"/>
              </w:rPr>
              <w:t xml:space="preserve"> Aziz - </w:t>
            </w:r>
            <w:hyperlink r:id="rId5" w:history="1">
              <w:r w:rsidRPr="008B0303">
                <w:rPr>
                  <w:rFonts w:ascii="Verdana" w:eastAsia="Times New Roman" w:hAnsi="Verdana" w:cs="Times New Roman"/>
                  <w:color w:val="336699"/>
                  <w:kern w:val="0"/>
                  <w:sz w:val="17"/>
                  <w:szCs w:val="17"/>
                  <w:u w:val="single"/>
                  <w:lang w:eastAsia="en-AU"/>
                  <w14:ligatures w14:val="none"/>
                </w:rPr>
                <w:t>pos.bids@undp.org</w:t>
              </w:r>
            </w:hyperlink>
          </w:p>
        </w:tc>
      </w:tr>
      <w:tr w:rsidR="008B0303" w:rsidRPr="008B0303" w14:paraId="1A15D824" w14:textId="77777777" w:rsidTr="008B0303">
        <w:tc>
          <w:tcPr>
            <w:tcW w:w="10340" w:type="dxa"/>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259CCE3" w14:textId="77777777" w:rsidR="008B0303" w:rsidRPr="008B0303" w:rsidRDefault="008B0303" w:rsidP="008B0303">
            <w:pPr>
              <w:spacing w:after="240" w:line="240" w:lineRule="auto"/>
              <w:rPr>
                <w:rFonts w:ascii="Verdana" w:eastAsia="Times New Roman" w:hAnsi="Verdana" w:cs="Times New Roman"/>
                <w:color w:val="333333"/>
                <w:kern w:val="0"/>
                <w:sz w:val="17"/>
                <w:szCs w:val="17"/>
                <w:lang w:eastAsia="en-AU"/>
                <w14:ligatures w14:val="none"/>
              </w:rPr>
            </w:pPr>
            <w:r w:rsidRPr="008B0303">
              <w:rPr>
                <w:rFonts w:ascii="Verdana" w:eastAsia="Times New Roman" w:hAnsi="Verdana" w:cs="Times New Roman"/>
                <w:color w:val="333333"/>
                <w:kern w:val="0"/>
                <w:sz w:val="17"/>
                <w:szCs w:val="17"/>
                <w:lang w:eastAsia="en-AU"/>
                <w14:ligatures w14:val="none"/>
              </w:rPr>
              <w:br/>
              <w:t>This specific tender is managed via the new supplier portal system of UNDP Quantum. If you are interested in submitting a bid for this tender, you must subscribe following the instructions in the </w:t>
            </w:r>
            <w:hyperlink r:id="rId6" w:tgtFrame="_blank" w:history="1">
              <w:r w:rsidRPr="008B0303">
                <w:rPr>
                  <w:rFonts w:ascii="Verdana" w:eastAsia="Times New Roman" w:hAnsi="Verdana" w:cs="Times New Roman"/>
                  <w:color w:val="336699"/>
                  <w:kern w:val="0"/>
                  <w:sz w:val="17"/>
                  <w:szCs w:val="17"/>
                  <w:u w:val="single"/>
                  <w:lang w:eastAsia="en-AU"/>
                  <w14:ligatures w14:val="none"/>
                </w:rPr>
                <w:t>user guide</w:t>
              </w:r>
            </w:hyperlink>
            <w:r w:rsidRPr="008B0303">
              <w:rPr>
                <w:rFonts w:ascii="Verdana" w:eastAsia="Times New Roman" w:hAnsi="Verdana" w:cs="Times New Roman"/>
                <w:color w:val="333333"/>
                <w:kern w:val="0"/>
                <w:sz w:val="17"/>
                <w:szCs w:val="17"/>
                <w:lang w:eastAsia="en-AU"/>
                <w14:ligatures w14:val="none"/>
              </w:rPr>
              <w:t>. If you have not registered a profile with this system, you can do so by following the link for </w:t>
            </w:r>
            <w:hyperlink r:id="rId7" w:tgtFrame="_blank" w:history="1">
              <w:r w:rsidRPr="008B0303">
                <w:rPr>
                  <w:rFonts w:ascii="Verdana" w:eastAsia="Times New Roman" w:hAnsi="Verdana" w:cs="Times New Roman"/>
                  <w:color w:val="336699"/>
                  <w:kern w:val="0"/>
                  <w:sz w:val="17"/>
                  <w:szCs w:val="17"/>
                  <w:u w:val="single"/>
                  <w:lang w:eastAsia="en-AU"/>
                  <w14:ligatures w14:val="none"/>
                </w:rPr>
                <w:t>Supplier Registration</w:t>
              </w:r>
            </w:hyperlink>
            <w:r w:rsidRPr="008B0303">
              <w:rPr>
                <w:rFonts w:ascii="Verdana" w:eastAsia="Times New Roman" w:hAnsi="Verdana" w:cs="Times New Roman"/>
                <w:color w:val="333333"/>
                <w:kern w:val="0"/>
                <w:sz w:val="17"/>
                <w:szCs w:val="17"/>
                <w:lang w:eastAsia="en-AU"/>
                <w14:ligatures w14:val="none"/>
              </w:rPr>
              <w:t>.</w:t>
            </w:r>
            <w:r w:rsidRPr="008B0303">
              <w:rPr>
                <w:rFonts w:ascii="Verdana" w:eastAsia="Times New Roman" w:hAnsi="Verdana" w:cs="Times New Roman"/>
                <w:color w:val="333333"/>
                <w:kern w:val="0"/>
                <w:sz w:val="17"/>
                <w:szCs w:val="17"/>
                <w:lang w:eastAsia="en-AU"/>
                <w14:ligatures w14:val="none"/>
              </w:rPr>
              <w:br/>
            </w:r>
            <w:r w:rsidRPr="008B0303">
              <w:rPr>
                <w:rFonts w:ascii="Verdana" w:eastAsia="Times New Roman" w:hAnsi="Verdana" w:cs="Times New Roman"/>
                <w:color w:val="333333"/>
                <w:kern w:val="0"/>
                <w:sz w:val="17"/>
                <w:szCs w:val="17"/>
                <w:lang w:eastAsia="en-AU"/>
                <w14:ligatures w14:val="none"/>
              </w:rPr>
              <w:br/>
              <w:t>If you already have a supplier profile, please login to the </w:t>
            </w:r>
            <w:hyperlink r:id="rId8" w:tgtFrame="_blank" w:history="1">
              <w:r w:rsidRPr="008B0303">
                <w:rPr>
                  <w:rFonts w:ascii="Verdana" w:eastAsia="Times New Roman" w:hAnsi="Verdana" w:cs="Times New Roman"/>
                  <w:color w:val="336699"/>
                  <w:kern w:val="0"/>
                  <w:sz w:val="17"/>
                  <w:szCs w:val="17"/>
                  <w:u w:val="single"/>
                  <w:lang w:eastAsia="en-AU"/>
                  <w14:ligatures w14:val="none"/>
                </w:rPr>
                <w:t>Supplier Portal</w:t>
              </w:r>
            </w:hyperlink>
            <w:r w:rsidRPr="008B0303">
              <w:rPr>
                <w:rFonts w:ascii="Verdana" w:eastAsia="Times New Roman" w:hAnsi="Verdana" w:cs="Times New Roman"/>
                <w:color w:val="333333"/>
                <w:kern w:val="0"/>
                <w:sz w:val="17"/>
                <w:szCs w:val="17"/>
                <w:lang w:eastAsia="en-AU"/>
                <w14:ligatures w14:val="none"/>
              </w:rPr>
              <w:t>, then search for the negotiation using the reference number </w:t>
            </w:r>
            <w:r w:rsidRPr="008B0303">
              <w:rPr>
                <w:rFonts w:ascii="Verdana" w:eastAsia="Times New Roman" w:hAnsi="Verdana" w:cs="Times New Roman"/>
                <w:b/>
                <w:bCs/>
                <w:color w:val="333333"/>
                <w:kern w:val="0"/>
                <w:sz w:val="17"/>
                <w:szCs w:val="17"/>
                <w:lang w:eastAsia="en-AU"/>
                <w14:ligatures w14:val="none"/>
              </w:rPr>
              <w:t>UNDP-PSU-00513</w:t>
            </w:r>
            <w:r w:rsidRPr="008B0303">
              <w:rPr>
                <w:rFonts w:ascii="Verdana" w:eastAsia="Times New Roman" w:hAnsi="Verdana" w:cs="Times New Roman"/>
                <w:color w:val="333333"/>
                <w:kern w:val="0"/>
                <w:sz w:val="17"/>
                <w:szCs w:val="17"/>
                <w:lang w:eastAsia="en-AU"/>
                <w14:ligatures w14:val="none"/>
              </w:rPr>
              <w:t>, following the instructions in the </w:t>
            </w:r>
            <w:hyperlink r:id="rId9" w:tgtFrame="_blank" w:history="1">
              <w:r w:rsidRPr="008B0303">
                <w:rPr>
                  <w:rFonts w:ascii="Verdana" w:eastAsia="Times New Roman" w:hAnsi="Verdana" w:cs="Times New Roman"/>
                  <w:color w:val="336699"/>
                  <w:kern w:val="0"/>
                  <w:sz w:val="17"/>
                  <w:szCs w:val="17"/>
                  <w:u w:val="single"/>
                  <w:lang w:eastAsia="en-AU"/>
                  <w14:ligatures w14:val="none"/>
                </w:rPr>
                <w:t>user guide</w:t>
              </w:r>
            </w:hyperlink>
            <w:r w:rsidRPr="008B0303">
              <w:rPr>
                <w:rFonts w:ascii="Verdana" w:eastAsia="Times New Roman" w:hAnsi="Verdana" w:cs="Times New Roman"/>
                <w:color w:val="333333"/>
                <w:kern w:val="0"/>
                <w:sz w:val="17"/>
                <w:szCs w:val="17"/>
                <w:lang w:eastAsia="en-AU"/>
                <w14:ligatures w14:val="none"/>
              </w:rPr>
              <w:t>.</w:t>
            </w:r>
          </w:p>
        </w:tc>
      </w:tr>
      <w:tr w:rsidR="008B0303" w:rsidRPr="008B0303" w14:paraId="7D03BF4F" w14:textId="77777777" w:rsidTr="008B0303">
        <w:tc>
          <w:tcPr>
            <w:tcW w:w="10340" w:type="dxa"/>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53118EFB"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Verdana" w:eastAsia="Times New Roman" w:hAnsi="Verdana" w:cs="Times New Roman"/>
                <w:color w:val="333333"/>
                <w:kern w:val="0"/>
                <w:sz w:val="17"/>
                <w:szCs w:val="17"/>
                <w:lang w:eastAsia="en-AU"/>
                <w14:ligatures w14:val="none"/>
              </w:rPr>
              <w:t>Introduction : </w:t>
            </w:r>
            <w:r w:rsidRPr="008B0303">
              <w:rPr>
                <w:rFonts w:ascii="Arial" w:eastAsia="Times New Roman" w:hAnsi="Arial" w:cs="Arial"/>
                <w:b/>
                <w:bCs/>
                <w:color w:val="333333"/>
                <w:kern w:val="0"/>
                <w:lang w:eastAsia="en-AU"/>
                <w14:ligatures w14:val="none"/>
              </w:rPr>
              <w:t xml:space="preserve">UNDP invites prospective bidders with business areas of green and renewable energy transition from fossil fuels to clean energy in the context of rural electrification program to submit a bid for the Construction Work of a renewable energy (hydro) power generation system and its associated power evacuation mini-grid distribution network at Waterfall and </w:t>
            </w:r>
            <w:proofErr w:type="spellStart"/>
            <w:r w:rsidRPr="008B0303">
              <w:rPr>
                <w:rFonts w:ascii="Arial" w:eastAsia="Times New Roman" w:hAnsi="Arial" w:cs="Arial"/>
                <w:b/>
                <w:bCs/>
                <w:color w:val="333333"/>
                <w:kern w:val="0"/>
                <w:lang w:eastAsia="en-AU"/>
                <w14:ligatures w14:val="none"/>
              </w:rPr>
              <w:t>Melsisi</w:t>
            </w:r>
            <w:proofErr w:type="spellEnd"/>
            <w:r w:rsidRPr="008B0303">
              <w:rPr>
                <w:rFonts w:ascii="Arial" w:eastAsia="Times New Roman" w:hAnsi="Arial" w:cs="Arial"/>
                <w:b/>
                <w:bCs/>
                <w:color w:val="333333"/>
                <w:kern w:val="0"/>
                <w:lang w:eastAsia="en-AU"/>
                <w14:ligatures w14:val="none"/>
              </w:rPr>
              <w:t xml:space="preserve"> sites on the island of Pentecost, Vanuatu.</w:t>
            </w:r>
          </w:p>
          <w:p w14:paraId="63A70BF9"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p>
          <w:p w14:paraId="1A8332AA"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Arial" w:eastAsia="Times New Roman" w:hAnsi="Arial" w:cs="Arial"/>
                <w:color w:val="333333"/>
                <w:kern w:val="0"/>
                <w:lang w:eastAsia="en-AU"/>
                <w14:ligatures w14:val="none"/>
              </w:rPr>
              <w:t xml:space="preserve">The bid consists of 2 </w:t>
            </w:r>
            <w:proofErr w:type="gramStart"/>
            <w:r w:rsidRPr="008B0303">
              <w:rPr>
                <w:rFonts w:ascii="Arial" w:eastAsia="Times New Roman" w:hAnsi="Arial" w:cs="Arial"/>
                <w:color w:val="333333"/>
                <w:kern w:val="0"/>
                <w:lang w:eastAsia="en-AU"/>
                <w14:ligatures w14:val="none"/>
              </w:rPr>
              <w:t>Lots;</w:t>
            </w:r>
            <w:proofErr w:type="gramEnd"/>
            <w:r w:rsidRPr="008B0303">
              <w:rPr>
                <w:rFonts w:ascii="Arial" w:eastAsia="Times New Roman" w:hAnsi="Arial" w:cs="Arial"/>
                <w:color w:val="333333"/>
                <w:kern w:val="0"/>
                <w:lang w:eastAsia="en-AU"/>
                <w14:ligatures w14:val="none"/>
              </w:rPr>
              <w:t> Lot 1 -Waterfall Site and Lot 2-Melsisi site.</w:t>
            </w:r>
          </w:p>
          <w:p w14:paraId="363B6A1E"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p>
          <w:p w14:paraId="2062C9E1"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Arial" w:eastAsia="Times New Roman" w:hAnsi="Arial" w:cs="Arial"/>
                <w:color w:val="333333"/>
                <w:kern w:val="0"/>
                <w:lang w:eastAsia="en-AU"/>
                <w14:ligatures w14:val="none"/>
              </w:rPr>
              <w:t>The</w:t>
            </w:r>
            <w:r w:rsidRPr="008B0303">
              <w:rPr>
                <w:rFonts w:ascii="Arial" w:eastAsia="Times New Roman" w:hAnsi="Arial" w:cs="Arial"/>
                <w:b/>
                <w:bCs/>
                <w:color w:val="333333"/>
                <w:kern w:val="0"/>
                <w:lang w:eastAsia="en-AU"/>
                <w14:ligatures w14:val="none"/>
              </w:rPr>
              <w:t> </w:t>
            </w:r>
            <w:r w:rsidRPr="008B0303">
              <w:rPr>
                <w:rFonts w:ascii="Arial" w:eastAsia="Times New Roman" w:hAnsi="Arial" w:cs="Arial"/>
                <w:b/>
                <w:bCs/>
                <w:color w:val="333333"/>
                <w:kern w:val="0"/>
                <w:u w:val="single"/>
                <w:lang w:eastAsia="en-AU"/>
                <w14:ligatures w14:val="none"/>
              </w:rPr>
              <w:t>physical work for each Lot may include but is not limited to all the following</w:t>
            </w:r>
            <w:r w:rsidRPr="008B0303">
              <w:rPr>
                <w:rFonts w:ascii="Arial" w:eastAsia="Times New Roman" w:hAnsi="Arial" w:cs="Arial"/>
                <w:color w:val="333333"/>
                <w:kern w:val="0"/>
                <w:lang w:eastAsia="en-AU"/>
                <w14:ligatures w14:val="none"/>
              </w:rPr>
              <w:t>:</w:t>
            </w:r>
          </w:p>
          <w:p w14:paraId="08E7936F"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p>
          <w:p w14:paraId="370FC2DF"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Arial" w:eastAsia="Times New Roman" w:hAnsi="Arial" w:cs="Arial"/>
                <w:b/>
                <w:bCs/>
                <w:color w:val="333333"/>
                <w:kern w:val="0"/>
                <w:sz w:val="17"/>
                <w:szCs w:val="17"/>
                <w:lang w:eastAsia="en-AU"/>
                <w14:ligatures w14:val="none"/>
              </w:rPr>
              <w:t>Lot 1: Waterfall Site</w:t>
            </w:r>
          </w:p>
          <w:p w14:paraId="72B3ABAB"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p>
          <w:p w14:paraId="71CDA3F9"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Arial" w:eastAsia="Times New Roman" w:hAnsi="Arial" w:cs="Arial"/>
                <w:color w:val="333333"/>
                <w:kern w:val="0"/>
                <w:sz w:val="17"/>
                <w:szCs w:val="17"/>
                <w:lang w:eastAsia="en-AU"/>
                <w14:ligatures w14:val="none"/>
              </w:rPr>
              <w:t>a. </w:t>
            </w:r>
            <w:r w:rsidRPr="008B0303">
              <w:rPr>
                <w:rFonts w:ascii="Arial" w:eastAsia="Times New Roman" w:hAnsi="Arial" w:cs="Arial"/>
                <w:color w:val="333333"/>
                <w:kern w:val="0"/>
                <w:lang w:eastAsia="en-AU"/>
                <w14:ligatures w14:val="none"/>
              </w:rPr>
              <w:t>Construction of approximately 23,907W hydroelectric generation system with 13 identical units of 2kW Turgo-type turbines (1,839W per turbine) installed in the Powerhouse. The turbines are required to have a total flow rate of 136.4 l/s with a total combined output of 23,907 W (1,839W per turbine). The length of the penstock connecting the intake to the powerhouse is approximately 110m.</w:t>
            </w:r>
          </w:p>
          <w:p w14:paraId="7918742D"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p>
          <w:p w14:paraId="3A2DD1C4"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Arial" w:eastAsia="Times New Roman" w:hAnsi="Arial" w:cs="Arial"/>
                <w:color w:val="333333"/>
                <w:kern w:val="0"/>
                <w:lang w:eastAsia="en-AU"/>
                <w14:ligatures w14:val="none"/>
              </w:rPr>
              <w:t>b. Construction of approximately 20km of hybrid (underground and aerial) three-phase low-voltage distribution network to connect the estimated 368 users currently living in the targeted communities and is required to be installed at 1,000V.</w:t>
            </w:r>
          </w:p>
          <w:p w14:paraId="0AD529F1"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p>
          <w:p w14:paraId="2EB6BEF2"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Arial" w:eastAsia="Times New Roman" w:hAnsi="Arial" w:cs="Arial"/>
                <w:color w:val="333333"/>
                <w:kern w:val="0"/>
                <w:lang w:eastAsia="en-AU"/>
                <w14:ligatures w14:val="none"/>
              </w:rPr>
              <w:t>c. Design and Construction of a powerhouse with approximately internal dimensions of 9.43 meters x 3.85 meters (36.39m2) with 2.5 meters height</w:t>
            </w:r>
          </w:p>
          <w:p w14:paraId="33C80CD3"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p>
          <w:p w14:paraId="1CA0DC5C"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Arial" w:eastAsia="Times New Roman" w:hAnsi="Arial" w:cs="Arial"/>
                <w:b/>
                <w:bCs/>
                <w:color w:val="333333"/>
                <w:kern w:val="0"/>
                <w:lang w:eastAsia="en-AU"/>
                <w14:ligatures w14:val="none"/>
              </w:rPr>
              <w:t xml:space="preserve">Lot 2: </w:t>
            </w:r>
            <w:proofErr w:type="spellStart"/>
            <w:r w:rsidRPr="008B0303">
              <w:rPr>
                <w:rFonts w:ascii="Arial" w:eastAsia="Times New Roman" w:hAnsi="Arial" w:cs="Arial"/>
                <w:b/>
                <w:bCs/>
                <w:color w:val="333333"/>
                <w:kern w:val="0"/>
                <w:lang w:eastAsia="en-AU"/>
                <w14:ligatures w14:val="none"/>
              </w:rPr>
              <w:t>Melsisi</w:t>
            </w:r>
            <w:proofErr w:type="spellEnd"/>
            <w:r w:rsidRPr="008B0303">
              <w:rPr>
                <w:rFonts w:ascii="Arial" w:eastAsia="Times New Roman" w:hAnsi="Arial" w:cs="Arial"/>
                <w:b/>
                <w:bCs/>
                <w:color w:val="333333"/>
                <w:kern w:val="0"/>
                <w:lang w:eastAsia="en-AU"/>
                <w14:ligatures w14:val="none"/>
              </w:rPr>
              <w:t xml:space="preserve"> Sites</w:t>
            </w:r>
          </w:p>
          <w:p w14:paraId="623289DD"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p>
          <w:p w14:paraId="47DFD853"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Arial" w:eastAsia="Times New Roman" w:hAnsi="Arial" w:cs="Arial"/>
                <w:color w:val="333333"/>
                <w:kern w:val="0"/>
                <w:lang w:eastAsia="en-AU"/>
                <w14:ligatures w14:val="none"/>
              </w:rPr>
              <w:t>a. Construction of approximately 31,444 W hydroelectric generation system with 19 identical units of 1.75 kW Pelton-type turbines installed in the powerhouse. The turbines are required to have a total flow of 47.0 l/s with a combined output of 31,444 W (1,655 W per turbine). The length of the penstock connecting the intake and powerhouse is approximately 850m.</w:t>
            </w:r>
          </w:p>
          <w:p w14:paraId="717AB759"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p>
          <w:p w14:paraId="0BD8D150"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Arial" w:eastAsia="Times New Roman" w:hAnsi="Arial" w:cs="Arial"/>
                <w:color w:val="333333"/>
                <w:kern w:val="0"/>
                <w:lang w:eastAsia="en-AU"/>
                <w14:ligatures w14:val="none"/>
              </w:rPr>
              <w:t>b. Construction of approximately 5 km of three-phase underground distribution network </w:t>
            </w:r>
            <w:bookmarkStart w:id="0" w:name="_Hlk158797568"/>
            <w:r w:rsidRPr="008B0303">
              <w:rPr>
                <w:rFonts w:ascii="Arial" w:eastAsia="Times New Roman" w:hAnsi="Arial" w:cs="Arial"/>
                <w:color w:val="336699"/>
                <w:kern w:val="0"/>
                <w:u w:val="single"/>
                <w:lang w:eastAsia="en-AU"/>
                <w14:ligatures w14:val="none"/>
              </w:rPr>
              <w:t>to connect the estimated 385 users currently living in the targeted communities and is required to be installed at 1,000V.</w:t>
            </w:r>
          </w:p>
          <w:p w14:paraId="17E2A6D5"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p>
          <w:p w14:paraId="6D26F8C4"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Arial" w:eastAsia="Times New Roman" w:hAnsi="Arial" w:cs="Arial"/>
                <w:color w:val="336699"/>
                <w:kern w:val="0"/>
                <w:u w:val="single"/>
                <w:lang w:eastAsia="en-AU"/>
                <w14:ligatures w14:val="none"/>
              </w:rPr>
              <w:lastRenderedPageBreak/>
              <w:t>c. </w:t>
            </w:r>
            <w:bookmarkEnd w:id="0"/>
            <w:r w:rsidRPr="008B0303">
              <w:rPr>
                <w:rFonts w:ascii="Arial" w:eastAsia="Times New Roman" w:hAnsi="Arial" w:cs="Arial"/>
                <w:color w:val="333333"/>
                <w:kern w:val="0"/>
                <w:lang w:eastAsia="en-AU"/>
                <w14:ligatures w14:val="none"/>
              </w:rPr>
              <w:t>Design and Construction of a powerhouse with internal dimensions of 11.35 x 5.18 m (58.8m</w:t>
            </w:r>
            <w:r w:rsidRPr="008B0303">
              <w:rPr>
                <w:rFonts w:ascii="Arial" w:eastAsia="Times New Roman" w:hAnsi="Arial" w:cs="Arial"/>
                <w:color w:val="333333"/>
                <w:kern w:val="0"/>
                <w:sz w:val="17"/>
                <w:szCs w:val="17"/>
                <w:vertAlign w:val="superscript"/>
                <w:lang w:eastAsia="en-AU"/>
                <w14:ligatures w14:val="none"/>
              </w:rPr>
              <w:t>2</w:t>
            </w:r>
            <w:r w:rsidRPr="008B0303">
              <w:rPr>
                <w:rFonts w:ascii="Arial" w:eastAsia="Times New Roman" w:hAnsi="Arial" w:cs="Arial"/>
                <w:color w:val="333333"/>
                <w:kern w:val="0"/>
                <w:lang w:eastAsia="en-AU"/>
                <w14:ligatures w14:val="none"/>
              </w:rPr>
              <w:t>) with 2.5 meters height</w:t>
            </w:r>
          </w:p>
          <w:p w14:paraId="0B226AAC" w14:textId="77777777" w:rsidR="008B0303" w:rsidRPr="008B0303" w:rsidRDefault="008B0303" w:rsidP="008B0303">
            <w:pPr>
              <w:shd w:val="clear" w:color="auto" w:fill="FFFFFF"/>
              <w:spacing w:before="100" w:beforeAutospacing="1" w:after="100" w:afterAutospacing="1" w:line="240" w:lineRule="auto"/>
              <w:jc w:val="both"/>
              <w:rPr>
                <w:rFonts w:ascii="Arial" w:eastAsia="Times New Roman" w:hAnsi="Arial" w:cs="Arial"/>
                <w:color w:val="333333"/>
                <w:kern w:val="0"/>
                <w:lang w:eastAsia="en-AU"/>
                <w14:ligatures w14:val="none"/>
              </w:rPr>
            </w:pPr>
            <w:r w:rsidRPr="008B0303">
              <w:rPr>
                <w:rFonts w:ascii="Arial" w:eastAsia="Times New Roman" w:hAnsi="Arial" w:cs="Arial"/>
                <w:color w:val="333333"/>
                <w:kern w:val="0"/>
                <w:lang w:val="en-US" w:eastAsia="en-AU"/>
                <w14:ligatures w14:val="none"/>
              </w:rPr>
              <w:t>Please note that the pre-bid conference (using Zoom meeting) is scheduled as follows:</w:t>
            </w:r>
          </w:p>
          <w:p w14:paraId="4262F883" w14:textId="77777777" w:rsidR="008B0303" w:rsidRPr="008B0303" w:rsidRDefault="008B0303" w:rsidP="008B0303">
            <w:pPr>
              <w:shd w:val="clear" w:color="auto" w:fill="FFFFFF"/>
              <w:spacing w:before="100" w:beforeAutospacing="1" w:after="100" w:afterAutospacing="1" w:line="240" w:lineRule="auto"/>
              <w:jc w:val="both"/>
              <w:rPr>
                <w:rFonts w:ascii="Arial" w:eastAsia="Times New Roman" w:hAnsi="Arial" w:cs="Arial"/>
                <w:color w:val="333333"/>
                <w:kern w:val="0"/>
                <w:lang w:eastAsia="en-AU"/>
                <w14:ligatures w14:val="none"/>
              </w:rPr>
            </w:pPr>
            <w:r w:rsidRPr="008B0303">
              <w:rPr>
                <w:rFonts w:ascii="Arial" w:eastAsia="Times New Roman" w:hAnsi="Arial" w:cs="Arial"/>
                <w:b/>
                <w:bCs/>
                <w:color w:val="333333"/>
                <w:kern w:val="0"/>
                <w:shd w:val="clear" w:color="auto" w:fill="FFFF00"/>
                <w:lang w:val="en-US" w:eastAsia="en-AU"/>
                <w14:ligatures w14:val="none"/>
              </w:rPr>
              <w:t>Date: Thursday, 21</w:t>
            </w:r>
            <w:r w:rsidRPr="008B0303">
              <w:rPr>
                <w:rFonts w:ascii="Arial" w:eastAsia="Times New Roman" w:hAnsi="Arial" w:cs="Arial"/>
                <w:b/>
                <w:bCs/>
                <w:color w:val="333333"/>
                <w:kern w:val="0"/>
                <w:shd w:val="clear" w:color="auto" w:fill="FFFF00"/>
                <w:vertAlign w:val="superscript"/>
                <w:lang w:val="en-US" w:eastAsia="en-AU"/>
                <w14:ligatures w14:val="none"/>
              </w:rPr>
              <w:t>st</w:t>
            </w:r>
            <w:r w:rsidRPr="008B0303">
              <w:rPr>
                <w:rFonts w:ascii="Arial" w:eastAsia="Times New Roman" w:hAnsi="Arial" w:cs="Arial"/>
                <w:b/>
                <w:bCs/>
                <w:color w:val="333333"/>
                <w:kern w:val="0"/>
                <w:shd w:val="clear" w:color="auto" w:fill="FFFF00"/>
                <w:lang w:val="en-US" w:eastAsia="en-AU"/>
                <w14:ligatures w14:val="none"/>
              </w:rPr>
              <w:t> March 2024</w:t>
            </w:r>
          </w:p>
          <w:p w14:paraId="69E4A3FC" w14:textId="77777777" w:rsidR="008B0303" w:rsidRPr="008B0303" w:rsidRDefault="008B0303" w:rsidP="008B0303">
            <w:pPr>
              <w:shd w:val="clear" w:color="auto" w:fill="FFFFFF"/>
              <w:spacing w:before="100" w:beforeAutospacing="1" w:after="100" w:afterAutospacing="1" w:line="240" w:lineRule="auto"/>
              <w:jc w:val="both"/>
              <w:rPr>
                <w:rFonts w:ascii="Arial" w:eastAsia="Times New Roman" w:hAnsi="Arial" w:cs="Arial"/>
                <w:color w:val="333333"/>
                <w:kern w:val="0"/>
                <w:lang w:eastAsia="en-AU"/>
                <w14:ligatures w14:val="none"/>
              </w:rPr>
            </w:pPr>
            <w:r w:rsidRPr="008B0303">
              <w:rPr>
                <w:rFonts w:ascii="Arial" w:eastAsia="Times New Roman" w:hAnsi="Arial" w:cs="Arial"/>
                <w:b/>
                <w:bCs/>
                <w:color w:val="333333"/>
                <w:kern w:val="0"/>
                <w:shd w:val="clear" w:color="auto" w:fill="FFFF00"/>
                <w:lang w:val="en-US" w:eastAsia="en-AU"/>
                <w14:ligatures w14:val="none"/>
              </w:rPr>
              <w:t>Time: 11 00 am., Kuala Lumpur, Malaysia Time</w:t>
            </w:r>
          </w:p>
          <w:p w14:paraId="0373F80E" w14:textId="77777777" w:rsidR="008B0303" w:rsidRPr="008B0303" w:rsidRDefault="008B0303" w:rsidP="008B0303">
            <w:pPr>
              <w:shd w:val="clear" w:color="auto" w:fill="FFFFFF"/>
              <w:spacing w:before="100" w:beforeAutospacing="1" w:after="100" w:afterAutospacing="1" w:line="240" w:lineRule="auto"/>
              <w:jc w:val="both"/>
              <w:rPr>
                <w:rFonts w:ascii="Arial" w:eastAsia="Times New Roman" w:hAnsi="Arial" w:cs="Arial"/>
                <w:color w:val="333333"/>
                <w:kern w:val="0"/>
                <w:lang w:eastAsia="en-AU"/>
                <w14:ligatures w14:val="none"/>
              </w:rPr>
            </w:pPr>
            <w:r w:rsidRPr="008B0303">
              <w:rPr>
                <w:rFonts w:ascii="Arial" w:eastAsia="Times New Roman" w:hAnsi="Arial" w:cs="Arial"/>
                <w:b/>
                <w:bCs/>
                <w:color w:val="333333"/>
                <w:kern w:val="0"/>
                <w:u w:val="single"/>
                <w:lang w:val="en-US" w:eastAsia="en-AU"/>
                <w14:ligatures w14:val="none"/>
              </w:rPr>
              <w:t>Meeting details will be provided directly to the bidders who express interest in participating by email to pso.bids@undp.org or through a messaging functionality in Quantum e-Tendering messaging functionality.</w:t>
            </w:r>
          </w:p>
          <w:p w14:paraId="12FFEE15"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Arial" w:eastAsia="Times New Roman" w:hAnsi="Arial" w:cs="Arial"/>
                <w:b/>
                <w:bCs/>
                <w:color w:val="333333"/>
                <w:kern w:val="0"/>
                <w:u w:val="single"/>
                <w:lang w:val="en-US" w:eastAsia="en-AU"/>
                <w14:ligatures w14:val="none"/>
              </w:rPr>
              <w:t>Please indicate whether you intend to submit a bid by creating a draft response without submitting it directly in the system</w:t>
            </w:r>
            <w:r w:rsidRPr="008B0303">
              <w:rPr>
                <w:rFonts w:ascii="Arial" w:eastAsia="Times New Roman" w:hAnsi="Arial" w:cs="Arial"/>
                <w:color w:val="333333"/>
                <w:kern w:val="0"/>
                <w:lang w:val="en-US" w:eastAsia="en-AU"/>
                <w14:ligatures w14:val="none"/>
              </w:rPr>
              <w:t>. This will enable the system to send notifications in case of amendments to the tender requirements. Should you require further clarification, kindly communicate using the messaging functionality in the system. Offers must be submitted directly in the system following this link: Supplier Portal web address: </w:t>
            </w:r>
            <w:hyperlink r:id="rId10" w:tgtFrame="_blank" w:history="1">
              <w:r w:rsidRPr="008B0303">
                <w:rPr>
                  <w:rFonts w:ascii="Arial" w:eastAsia="Times New Roman" w:hAnsi="Arial" w:cs="Arial"/>
                  <w:color w:val="336699"/>
                  <w:kern w:val="0"/>
                  <w:u w:val="single"/>
                  <w:lang w:val="en-US" w:eastAsia="en-AU"/>
                  <w14:ligatures w14:val="none"/>
                </w:rPr>
                <w:t>http://supplier.quantum.partneragencies.org</w:t>
              </w:r>
            </w:hyperlink>
            <w:r w:rsidRPr="008B0303">
              <w:rPr>
                <w:rFonts w:ascii="Arial" w:eastAsia="Times New Roman" w:hAnsi="Arial" w:cs="Arial"/>
                <w:color w:val="333333"/>
                <w:kern w:val="0"/>
                <w:lang w:val="en-US" w:eastAsia="en-AU"/>
                <w14:ligatures w14:val="none"/>
              </w:rPr>
              <w:t> using the profile you may have in the portal.</w:t>
            </w:r>
          </w:p>
          <w:p w14:paraId="7F5D498E"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p>
          <w:p w14:paraId="38DBDA0D" w14:textId="77777777" w:rsidR="008B0303" w:rsidRPr="008B0303" w:rsidRDefault="008B0303" w:rsidP="008B0303">
            <w:pPr>
              <w:spacing w:before="100" w:beforeAutospacing="1" w:after="0" w:line="240" w:lineRule="auto"/>
              <w:rPr>
                <w:rFonts w:ascii="Verdana" w:eastAsia="Times New Roman" w:hAnsi="Verdana" w:cs="Times New Roman"/>
                <w:color w:val="333333"/>
                <w:kern w:val="0"/>
                <w:lang w:val="en-US" w:eastAsia="en-AU"/>
                <w14:ligatures w14:val="none"/>
              </w:rPr>
            </w:pPr>
            <w:r w:rsidRPr="008B0303">
              <w:rPr>
                <w:rFonts w:ascii="Arial" w:eastAsia="Times New Roman" w:hAnsi="Arial" w:cs="Arial"/>
                <w:color w:val="333333"/>
                <w:kern w:val="0"/>
                <w:lang w:val="en-US" w:eastAsia="en-AU"/>
                <w14:ligatures w14:val="none"/>
              </w:rPr>
              <w:t>In case you have never registered before, you can register a profile using the registration link shared via the procurement notice and following the instructions in the guides available on the UNDP website: </w:t>
            </w:r>
            <w:hyperlink r:id="rId11" w:tgtFrame="_blank" w:history="1">
              <w:r w:rsidRPr="008B0303">
                <w:rPr>
                  <w:rFonts w:ascii="Arial" w:eastAsia="Times New Roman" w:hAnsi="Arial" w:cs="Arial"/>
                  <w:color w:val="336699"/>
                  <w:kern w:val="0"/>
                  <w:u w:val="single"/>
                  <w:lang w:val="en-US" w:eastAsia="en-AU"/>
                  <w14:ligatures w14:val="none"/>
                </w:rPr>
                <w:t>https://www.undp.org/procurement/business/resources-for-bidders</w:t>
              </w:r>
            </w:hyperlink>
            <w:r w:rsidRPr="008B0303">
              <w:rPr>
                <w:rFonts w:ascii="Arial" w:eastAsia="Times New Roman" w:hAnsi="Arial" w:cs="Arial"/>
                <w:color w:val="333333"/>
                <w:kern w:val="0"/>
                <w:lang w:val="en-US" w:eastAsia="en-AU"/>
                <w14:ligatures w14:val="none"/>
              </w:rPr>
              <w:t>.</w:t>
            </w:r>
          </w:p>
          <w:p w14:paraId="6548FC29" w14:textId="77777777" w:rsidR="008B0303" w:rsidRPr="008B0303" w:rsidRDefault="008B0303" w:rsidP="008B0303">
            <w:pPr>
              <w:spacing w:before="100" w:beforeAutospacing="1" w:after="100" w:afterAutospacing="1" w:line="240" w:lineRule="auto"/>
              <w:jc w:val="both"/>
              <w:rPr>
                <w:rFonts w:ascii="Verdana" w:eastAsia="Times New Roman" w:hAnsi="Verdana" w:cs="Times New Roman"/>
                <w:color w:val="333333"/>
                <w:kern w:val="0"/>
                <w:lang w:val="en-US" w:eastAsia="en-AU"/>
                <w14:ligatures w14:val="none"/>
              </w:rPr>
            </w:pPr>
            <w:r w:rsidRPr="008B0303">
              <w:rPr>
                <w:rFonts w:ascii="Arial" w:eastAsia="Times New Roman" w:hAnsi="Arial" w:cs="Arial"/>
                <w:b/>
                <w:bCs/>
                <w:i/>
                <w:iCs/>
                <w:color w:val="333333"/>
                <w:kern w:val="0"/>
                <w:lang w:val="en-US" w:eastAsia="en-AU"/>
                <w14:ligatures w14:val="none"/>
              </w:rPr>
              <w:t>Please do not create a new profile if you already have one. Use the forgotten password feature in case you do not remember the password or the username from the previous registration</w:t>
            </w:r>
            <w:r w:rsidRPr="008B0303">
              <w:rPr>
                <w:rFonts w:ascii="Arial" w:eastAsia="Times New Roman" w:hAnsi="Arial" w:cs="Arial"/>
                <w:color w:val="333333"/>
                <w:kern w:val="0"/>
                <w:lang w:val="en-US" w:eastAsia="en-AU"/>
                <w14:ligatures w14:val="none"/>
              </w:rPr>
              <w:t>.</w:t>
            </w:r>
          </w:p>
          <w:p w14:paraId="3BFEB020" w14:textId="77777777" w:rsidR="008B0303" w:rsidRPr="008B0303" w:rsidRDefault="008B0303" w:rsidP="008B0303">
            <w:pPr>
              <w:spacing w:before="3" w:after="100" w:afterAutospacing="1" w:line="240" w:lineRule="auto"/>
              <w:jc w:val="both"/>
              <w:rPr>
                <w:rFonts w:ascii="Verdana" w:eastAsia="Times New Roman" w:hAnsi="Verdana" w:cs="Times New Roman"/>
                <w:color w:val="333333"/>
                <w:kern w:val="0"/>
                <w:lang w:val="en-US" w:eastAsia="en-AU"/>
                <w14:ligatures w14:val="none"/>
              </w:rPr>
            </w:pPr>
            <w:r w:rsidRPr="008B0303">
              <w:rPr>
                <w:rFonts w:ascii="Arial" w:eastAsia="Times New Roman" w:hAnsi="Arial" w:cs="Arial"/>
                <w:color w:val="333333"/>
                <w:kern w:val="0"/>
                <w:lang w:val="en-US" w:eastAsia="en-AU"/>
                <w14:ligatures w14:val="none"/>
              </w:rPr>
              <w:t xml:space="preserve">We look forward to receiving your </w:t>
            </w:r>
            <w:proofErr w:type="gramStart"/>
            <w:r w:rsidRPr="008B0303">
              <w:rPr>
                <w:rFonts w:ascii="Arial" w:eastAsia="Times New Roman" w:hAnsi="Arial" w:cs="Arial"/>
                <w:color w:val="333333"/>
                <w:kern w:val="0"/>
                <w:lang w:val="en-US" w:eastAsia="en-AU"/>
                <w14:ligatures w14:val="none"/>
              </w:rPr>
              <w:t>bid</w:t>
            </w:r>
            <w:proofErr w:type="gramEnd"/>
          </w:p>
          <w:p w14:paraId="34B77F70" w14:textId="77777777" w:rsidR="008B0303" w:rsidRPr="008B0303" w:rsidRDefault="008B0303" w:rsidP="008B0303">
            <w:pPr>
              <w:spacing w:after="0" w:line="240" w:lineRule="auto"/>
              <w:ind w:right="182"/>
              <w:jc w:val="both"/>
              <w:rPr>
                <w:rFonts w:ascii="Verdana" w:eastAsia="Times New Roman" w:hAnsi="Verdana" w:cs="Times New Roman"/>
                <w:color w:val="333333"/>
                <w:kern w:val="0"/>
                <w:lang w:val="en-US" w:eastAsia="en-AU"/>
                <w14:ligatures w14:val="none"/>
              </w:rPr>
            </w:pPr>
            <w:r w:rsidRPr="008B0303">
              <w:rPr>
                <w:rFonts w:ascii="Arial" w:eastAsia="Times New Roman" w:hAnsi="Arial" w:cs="Arial"/>
                <w:b/>
                <w:bCs/>
                <w:color w:val="333333"/>
                <w:kern w:val="0"/>
                <w:lang w:val="en-US" w:eastAsia="en-AU"/>
                <w14:ligatures w14:val="none"/>
              </w:rPr>
              <w:t>UNDP Office of Procurement,</w:t>
            </w:r>
          </w:p>
          <w:p w14:paraId="7EA0ADEC" w14:textId="77777777" w:rsidR="008B0303" w:rsidRPr="008B0303" w:rsidRDefault="008B0303" w:rsidP="008B0303">
            <w:pPr>
              <w:spacing w:after="0" w:line="240" w:lineRule="auto"/>
              <w:ind w:right="182"/>
              <w:jc w:val="both"/>
              <w:rPr>
                <w:rFonts w:ascii="Verdana" w:eastAsia="Times New Roman" w:hAnsi="Verdana" w:cs="Times New Roman"/>
                <w:color w:val="333333"/>
                <w:kern w:val="0"/>
                <w:lang w:val="en-US" w:eastAsia="en-AU"/>
                <w14:ligatures w14:val="none"/>
              </w:rPr>
            </w:pPr>
            <w:r w:rsidRPr="008B0303">
              <w:rPr>
                <w:rFonts w:ascii="Arial" w:eastAsia="Times New Roman" w:hAnsi="Arial" w:cs="Arial"/>
                <w:b/>
                <w:bCs/>
                <w:color w:val="333333"/>
                <w:kern w:val="0"/>
                <w:lang w:val="en-US" w:eastAsia="en-AU"/>
                <w14:ligatures w14:val="none"/>
              </w:rPr>
              <w:t>Global Procurement Supply Division</w:t>
            </w:r>
          </w:p>
          <w:p w14:paraId="753D2673" w14:textId="77777777" w:rsidR="008B0303" w:rsidRPr="008B0303" w:rsidRDefault="008B0303" w:rsidP="008B0303">
            <w:pPr>
              <w:spacing w:after="0" w:line="240" w:lineRule="auto"/>
              <w:ind w:right="182"/>
              <w:jc w:val="both"/>
              <w:rPr>
                <w:rFonts w:ascii="Verdana" w:eastAsia="Times New Roman" w:hAnsi="Verdana" w:cs="Times New Roman"/>
                <w:color w:val="333333"/>
                <w:kern w:val="0"/>
                <w:lang w:val="en-US" w:eastAsia="en-AU"/>
                <w14:ligatures w14:val="none"/>
              </w:rPr>
            </w:pPr>
            <w:r w:rsidRPr="008B0303">
              <w:rPr>
                <w:rFonts w:ascii="Arial" w:eastAsia="Times New Roman" w:hAnsi="Arial" w:cs="Arial"/>
                <w:b/>
                <w:bCs/>
                <w:color w:val="333333"/>
                <w:kern w:val="0"/>
                <w:lang w:val="en-US" w:eastAsia="en-AU"/>
                <w14:ligatures w14:val="none"/>
              </w:rPr>
              <w:t>Crisis, Climate, and Infrastructure Team</w:t>
            </w:r>
          </w:p>
          <w:p w14:paraId="45F90363"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p>
        </w:tc>
      </w:tr>
      <w:tr w:rsidR="008B0303" w:rsidRPr="008B0303" w14:paraId="0DC25DB4" w14:textId="77777777" w:rsidTr="008B0303">
        <w:tc>
          <w:tcPr>
            <w:tcW w:w="10340" w:type="dxa"/>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14:paraId="13CF2B72" w14:textId="77777777" w:rsidR="008B0303" w:rsidRPr="008B0303" w:rsidRDefault="008B0303" w:rsidP="008B0303">
            <w:pPr>
              <w:spacing w:after="0" w:line="240" w:lineRule="auto"/>
              <w:rPr>
                <w:rFonts w:ascii="Verdana" w:eastAsia="Times New Roman" w:hAnsi="Verdana" w:cs="Times New Roman"/>
                <w:color w:val="333333"/>
                <w:kern w:val="0"/>
                <w:sz w:val="17"/>
                <w:szCs w:val="17"/>
                <w:lang w:eastAsia="en-AU"/>
                <w14:ligatures w14:val="none"/>
              </w:rPr>
            </w:pPr>
            <w:r w:rsidRPr="008B0303">
              <w:rPr>
                <w:rFonts w:ascii="Verdana" w:eastAsia="Times New Roman" w:hAnsi="Verdana" w:cs="Times New Roman"/>
                <w:b/>
                <w:bCs/>
                <w:color w:val="333333"/>
                <w:kern w:val="0"/>
                <w:sz w:val="17"/>
                <w:szCs w:val="17"/>
                <w:lang w:eastAsia="en-AU"/>
                <w14:ligatures w14:val="none"/>
              </w:rPr>
              <w:lastRenderedPageBreak/>
              <w:t>Documents :</w:t>
            </w:r>
            <w:r w:rsidRPr="008B0303">
              <w:rPr>
                <w:rFonts w:ascii="Verdana" w:eastAsia="Times New Roman" w:hAnsi="Verdana" w:cs="Times New Roman"/>
                <w:color w:val="333333"/>
                <w:kern w:val="0"/>
                <w:sz w:val="17"/>
                <w:szCs w:val="17"/>
                <w:lang w:eastAsia="en-AU"/>
                <w14:ligatures w14:val="none"/>
              </w:rPr>
              <w:br/>
            </w:r>
            <w:hyperlink r:id="rId12" w:tgtFrame="_blank" w:history="1">
              <w:r w:rsidRPr="008B0303">
                <w:rPr>
                  <w:rFonts w:ascii="Verdana" w:eastAsia="Times New Roman" w:hAnsi="Verdana" w:cs="Times New Roman"/>
                  <w:color w:val="336699"/>
                  <w:kern w:val="0"/>
                  <w:sz w:val="17"/>
                  <w:szCs w:val="17"/>
                  <w:u w:val="single"/>
                  <w:lang w:eastAsia="en-AU"/>
                  <w14:ligatures w14:val="none"/>
                </w:rPr>
                <w:t>Negotiation Document(s)</w:t>
              </w:r>
            </w:hyperlink>
            <w:r w:rsidRPr="008B0303">
              <w:rPr>
                <w:rFonts w:ascii="Verdana" w:eastAsia="Times New Roman" w:hAnsi="Verdana" w:cs="Times New Roman"/>
                <w:color w:val="333333"/>
                <w:kern w:val="0"/>
                <w:sz w:val="17"/>
                <w:szCs w:val="17"/>
                <w:lang w:eastAsia="en-AU"/>
                <w14:ligatures w14:val="none"/>
              </w:rPr>
              <w:t> (Before Accessing other negotiations Document(s), please click on </w:t>
            </w:r>
            <w:hyperlink r:id="rId13" w:tgtFrame="_blank" w:history="1">
              <w:r w:rsidRPr="008B0303">
                <w:rPr>
                  <w:rFonts w:ascii="Verdana" w:eastAsia="Times New Roman" w:hAnsi="Verdana" w:cs="Times New Roman"/>
                  <w:color w:val="336699"/>
                  <w:kern w:val="0"/>
                  <w:sz w:val="17"/>
                  <w:szCs w:val="17"/>
                  <w:u w:val="single"/>
                  <w:lang w:eastAsia="en-AU"/>
                  <w14:ligatures w14:val="none"/>
                </w:rPr>
                <w:t>this link</w:t>
              </w:r>
            </w:hyperlink>
            <w:r w:rsidRPr="008B0303">
              <w:rPr>
                <w:rFonts w:ascii="Verdana" w:eastAsia="Times New Roman" w:hAnsi="Verdana" w:cs="Times New Roman"/>
                <w:color w:val="333333"/>
                <w:kern w:val="0"/>
                <w:sz w:val="17"/>
                <w:szCs w:val="17"/>
                <w:lang w:eastAsia="en-AU"/>
                <w14:ligatures w14:val="none"/>
              </w:rPr>
              <w:t>)</w:t>
            </w:r>
          </w:p>
        </w:tc>
      </w:tr>
    </w:tbl>
    <w:p w14:paraId="5B1A65C1" w14:textId="77777777" w:rsidR="008B0303" w:rsidRDefault="008B0303" w:rsidP="008B0303">
      <w:pPr>
        <w:ind w:right="-1440"/>
      </w:pPr>
    </w:p>
    <w:sectPr w:rsidR="008B0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03"/>
    <w:rsid w:val="00150889"/>
    <w:rsid w:val="004958A6"/>
    <w:rsid w:val="008B0303"/>
    <w:rsid w:val="00915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521F"/>
  <w15:chartTrackingRefBased/>
  <w15:docId w15:val="{E3EA1445-3866-488F-8E02-494065BD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0303"/>
    <w:rPr>
      <w:b/>
      <w:bCs/>
    </w:rPr>
  </w:style>
  <w:style w:type="character" w:styleId="Hyperlink">
    <w:name w:val="Hyperlink"/>
    <w:basedOn w:val="DefaultParagraphFont"/>
    <w:uiPriority w:val="99"/>
    <w:semiHidden/>
    <w:unhideWhenUsed/>
    <w:rsid w:val="008B0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0824">
      <w:bodyDiv w:val="1"/>
      <w:marLeft w:val="0"/>
      <w:marRight w:val="0"/>
      <w:marTop w:val="0"/>
      <w:marBottom w:val="0"/>
      <w:divBdr>
        <w:top w:val="none" w:sz="0" w:space="0" w:color="auto"/>
        <w:left w:val="none" w:sz="0" w:space="0" w:color="auto"/>
        <w:bottom w:val="none" w:sz="0" w:space="0" w:color="auto"/>
        <w:right w:val="none" w:sz="0" w:space="0" w:color="auto"/>
      </w:divBdr>
      <w:divsChild>
        <w:div w:id="1749618092">
          <w:marLeft w:val="0"/>
          <w:marRight w:val="0"/>
          <w:marTop w:val="0"/>
          <w:marBottom w:val="0"/>
          <w:divBdr>
            <w:top w:val="none" w:sz="0" w:space="0" w:color="auto"/>
            <w:left w:val="none" w:sz="0" w:space="0" w:color="auto"/>
            <w:bottom w:val="none" w:sz="0" w:space="0" w:color="auto"/>
            <w:right w:val="none" w:sz="0" w:space="0" w:color="auto"/>
          </w:divBdr>
        </w:div>
        <w:div w:id="208541243">
          <w:marLeft w:val="0"/>
          <w:marRight w:val="0"/>
          <w:marTop w:val="0"/>
          <w:marBottom w:val="0"/>
          <w:divBdr>
            <w:top w:val="none" w:sz="0" w:space="0" w:color="auto"/>
            <w:left w:val="none" w:sz="0" w:space="0" w:color="auto"/>
            <w:bottom w:val="none" w:sz="0" w:space="0" w:color="auto"/>
            <w:right w:val="none" w:sz="0" w:space="0" w:color="auto"/>
          </w:divBdr>
        </w:div>
        <w:div w:id="1788963509">
          <w:marLeft w:val="0"/>
          <w:marRight w:val="0"/>
          <w:marTop w:val="0"/>
          <w:marBottom w:val="0"/>
          <w:divBdr>
            <w:top w:val="none" w:sz="0" w:space="0" w:color="auto"/>
            <w:left w:val="none" w:sz="0" w:space="0" w:color="auto"/>
            <w:bottom w:val="none" w:sz="0" w:space="0" w:color="auto"/>
            <w:right w:val="none" w:sz="0" w:space="0" w:color="auto"/>
          </w:divBdr>
        </w:div>
        <w:div w:id="922105281">
          <w:marLeft w:val="0"/>
          <w:marRight w:val="0"/>
          <w:marTop w:val="0"/>
          <w:marBottom w:val="0"/>
          <w:divBdr>
            <w:top w:val="none" w:sz="0" w:space="0" w:color="auto"/>
            <w:left w:val="none" w:sz="0" w:space="0" w:color="auto"/>
            <w:bottom w:val="none" w:sz="0" w:space="0" w:color="auto"/>
            <w:right w:val="none" w:sz="0" w:space="0" w:color="auto"/>
          </w:divBdr>
        </w:div>
        <w:div w:id="1237741980">
          <w:marLeft w:val="0"/>
          <w:marRight w:val="0"/>
          <w:marTop w:val="0"/>
          <w:marBottom w:val="0"/>
          <w:divBdr>
            <w:top w:val="none" w:sz="0" w:space="0" w:color="auto"/>
            <w:left w:val="none" w:sz="0" w:space="0" w:color="auto"/>
            <w:bottom w:val="none" w:sz="0" w:space="0" w:color="auto"/>
            <w:right w:val="none" w:sz="0" w:space="0" w:color="auto"/>
          </w:divBdr>
        </w:div>
        <w:div w:id="345715671">
          <w:marLeft w:val="0"/>
          <w:marRight w:val="0"/>
          <w:marTop w:val="0"/>
          <w:marBottom w:val="0"/>
          <w:divBdr>
            <w:top w:val="none" w:sz="0" w:space="0" w:color="auto"/>
            <w:left w:val="none" w:sz="0" w:space="0" w:color="auto"/>
            <w:bottom w:val="none" w:sz="0" w:space="0" w:color="auto"/>
            <w:right w:val="none" w:sz="0" w:space="0" w:color="auto"/>
          </w:divBdr>
        </w:div>
        <w:div w:id="1637374217">
          <w:marLeft w:val="0"/>
          <w:marRight w:val="0"/>
          <w:marTop w:val="0"/>
          <w:marBottom w:val="0"/>
          <w:divBdr>
            <w:top w:val="none" w:sz="0" w:space="0" w:color="auto"/>
            <w:left w:val="none" w:sz="0" w:space="0" w:color="auto"/>
            <w:bottom w:val="none" w:sz="0" w:space="0" w:color="auto"/>
            <w:right w:val="none" w:sz="0" w:space="0" w:color="auto"/>
          </w:divBdr>
        </w:div>
        <w:div w:id="1290474031">
          <w:marLeft w:val="0"/>
          <w:marRight w:val="0"/>
          <w:marTop w:val="0"/>
          <w:marBottom w:val="0"/>
          <w:divBdr>
            <w:top w:val="none" w:sz="0" w:space="0" w:color="auto"/>
            <w:left w:val="none" w:sz="0" w:space="0" w:color="auto"/>
            <w:bottom w:val="none" w:sz="0" w:space="0" w:color="auto"/>
            <w:right w:val="none" w:sz="0" w:space="0" w:color="auto"/>
          </w:divBdr>
        </w:div>
        <w:div w:id="477452685">
          <w:marLeft w:val="0"/>
          <w:marRight w:val="0"/>
          <w:marTop w:val="0"/>
          <w:marBottom w:val="0"/>
          <w:divBdr>
            <w:top w:val="none" w:sz="0" w:space="0" w:color="auto"/>
            <w:left w:val="none" w:sz="0" w:space="0" w:color="auto"/>
            <w:bottom w:val="none" w:sz="0" w:space="0" w:color="auto"/>
            <w:right w:val="none" w:sz="0" w:space="0" w:color="auto"/>
          </w:divBdr>
        </w:div>
        <w:div w:id="562956348">
          <w:marLeft w:val="0"/>
          <w:marRight w:val="0"/>
          <w:marTop w:val="0"/>
          <w:marBottom w:val="0"/>
          <w:divBdr>
            <w:top w:val="none" w:sz="0" w:space="0" w:color="auto"/>
            <w:left w:val="none" w:sz="0" w:space="0" w:color="auto"/>
            <w:bottom w:val="none" w:sz="0" w:space="0" w:color="auto"/>
            <w:right w:val="none" w:sz="0" w:space="0" w:color="auto"/>
          </w:divBdr>
        </w:div>
        <w:div w:id="1816021177">
          <w:marLeft w:val="0"/>
          <w:marRight w:val="0"/>
          <w:marTop w:val="0"/>
          <w:marBottom w:val="0"/>
          <w:divBdr>
            <w:top w:val="none" w:sz="0" w:space="0" w:color="auto"/>
            <w:left w:val="none" w:sz="0" w:space="0" w:color="auto"/>
            <w:bottom w:val="none" w:sz="0" w:space="0" w:color="auto"/>
            <w:right w:val="none" w:sz="0" w:space="0" w:color="auto"/>
          </w:divBdr>
        </w:div>
        <w:div w:id="1989284219">
          <w:marLeft w:val="0"/>
          <w:marRight w:val="0"/>
          <w:marTop w:val="0"/>
          <w:marBottom w:val="0"/>
          <w:divBdr>
            <w:top w:val="none" w:sz="0" w:space="0" w:color="auto"/>
            <w:left w:val="none" w:sz="0" w:space="0" w:color="auto"/>
            <w:bottom w:val="none" w:sz="0" w:space="0" w:color="auto"/>
            <w:right w:val="none" w:sz="0" w:space="0" w:color="auto"/>
          </w:divBdr>
        </w:div>
        <w:div w:id="384111309">
          <w:marLeft w:val="0"/>
          <w:marRight w:val="0"/>
          <w:marTop w:val="0"/>
          <w:marBottom w:val="0"/>
          <w:divBdr>
            <w:top w:val="none" w:sz="0" w:space="0" w:color="auto"/>
            <w:left w:val="none" w:sz="0" w:space="0" w:color="auto"/>
            <w:bottom w:val="none" w:sz="0" w:space="0" w:color="auto"/>
            <w:right w:val="none" w:sz="0" w:space="0" w:color="auto"/>
          </w:divBdr>
        </w:div>
        <w:div w:id="1489203213">
          <w:marLeft w:val="0"/>
          <w:marRight w:val="0"/>
          <w:marTop w:val="0"/>
          <w:marBottom w:val="0"/>
          <w:divBdr>
            <w:top w:val="none" w:sz="0" w:space="0" w:color="auto"/>
            <w:left w:val="none" w:sz="0" w:space="0" w:color="auto"/>
            <w:bottom w:val="none" w:sz="0" w:space="0" w:color="auto"/>
            <w:right w:val="none" w:sz="0" w:space="0" w:color="auto"/>
          </w:divBdr>
        </w:div>
        <w:div w:id="1180696958">
          <w:marLeft w:val="0"/>
          <w:marRight w:val="0"/>
          <w:marTop w:val="0"/>
          <w:marBottom w:val="0"/>
          <w:divBdr>
            <w:top w:val="none" w:sz="0" w:space="0" w:color="auto"/>
            <w:left w:val="none" w:sz="0" w:space="0" w:color="auto"/>
            <w:bottom w:val="none" w:sz="0" w:space="0" w:color="auto"/>
            <w:right w:val="none" w:sz="0" w:space="0" w:color="auto"/>
          </w:divBdr>
        </w:div>
        <w:div w:id="1507743454">
          <w:marLeft w:val="0"/>
          <w:marRight w:val="0"/>
          <w:marTop w:val="0"/>
          <w:marBottom w:val="0"/>
          <w:divBdr>
            <w:top w:val="none" w:sz="0" w:space="0" w:color="auto"/>
            <w:left w:val="none" w:sz="0" w:space="0" w:color="auto"/>
            <w:bottom w:val="none" w:sz="0" w:space="0" w:color="auto"/>
            <w:right w:val="none" w:sz="0" w:space="0" w:color="auto"/>
          </w:divBdr>
        </w:div>
        <w:div w:id="636380851">
          <w:marLeft w:val="0"/>
          <w:marRight w:val="0"/>
          <w:marTop w:val="0"/>
          <w:marBottom w:val="0"/>
          <w:divBdr>
            <w:top w:val="none" w:sz="0" w:space="0" w:color="auto"/>
            <w:left w:val="none" w:sz="0" w:space="0" w:color="auto"/>
            <w:bottom w:val="none" w:sz="0" w:space="0" w:color="auto"/>
            <w:right w:val="none" w:sz="0" w:space="0" w:color="auto"/>
          </w:divBdr>
        </w:div>
        <w:div w:id="270624000">
          <w:marLeft w:val="0"/>
          <w:marRight w:val="0"/>
          <w:marTop w:val="0"/>
          <w:marBottom w:val="0"/>
          <w:divBdr>
            <w:top w:val="none" w:sz="0" w:space="0" w:color="auto"/>
            <w:left w:val="none" w:sz="0" w:space="0" w:color="auto"/>
            <w:bottom w:val="none" w:sz="0" w:space="0" w:color="auto"/>
            <w:right w:val="none" w:sz="0" w:space="0" w:color="auto"/>
          </w:divBdr>
        </w:div>
        <w:div w:id="1417938143">
          <w:marLeft w:val="0"/>
          <w:marRight w:val="0"/>
          <w:marTop w:val="0"/>
          <w:marBottom w:val="0"/>
          <w:divBdr>
            <w:top w:val="none" w:sz="0" w:space="0" w:color="auto"/>
            <w:left w:val="none" w:sz="0" w:space="0" w:color="auto"/>
            <w:bottom w:val="none" w:sz="0" w:space="0" w:color="auto"/>
            <w:right w:val="none" w:sz="0" w:space="0" w:color="auto"/>
          </w:divBdr>
        </w:div>
        <w:div w:id="1589188435">
          <w:marLeft w:val="0"/>
          <w:marRight w:val="0"/>
          <w:marTop w:val="0"/>
          <w:marBottom w:val="0"/>
          <w:divBdr>
            <w:top w:val="none" w:sz="0" w:space="0" w:color="auto"/>
            <w:left w:val="none" w:sz="0" w:space="0" w:color="auto"/>
            <w:bottom w:val="none" w:sz="0" w:space="0" w:color="auto"/>
            <w:right w:val="none" w:sz="0" w:space="0" w:color="auto"/>
          </w:divBdr>
        </w:div>
        <w:div w:id="275723247">
          <w:marLeft w:val="0"/>
          <w:marRight w:val="0"/>
          <w:marTop w:val="0"/>
          <w:marBottom w:val="0"/>
          <w:divBdr>
            <w:top w:val="none" w:sz="0" w:space="0" w:color="auto"/>
            <w:left w:val="none" w:sz="0" w:space="0" w:color="auto"/>
            <w:bottom w:val="none" w:sz="0" w:space="0" w:color="auto"/>
            <w:right w:val="none" w:sz="0" w:space="0" w:color="auto"/>
          </w:divBdr>
          <w:divsChild>
            <w:div w:id="1422752166">
              <w:marLeft w:val="0"/>
              <w:marRight w:val="0"/>
              <w:marTop w:val="0"/>
              <w:marBottom w:val="0"/>
              <w:divBdr>
                <w:top w:val="none" w:sz="0" w:space="0" w:color="auto"/>
                <w:left w:val="none" w:sz="0" w:space="0" w:color="auto"/>
                <w:bottom w:val="none" w:sz="0" w:space="0" w:color="auto"/>
                <w:right w:val="none" w:sz="0" w:space="0" w:color="auto"/>
              </w:divBdr>
            </w:div>
            <w:div w:id="1972902697">
              <w:marLeft w:val="0"/>
              <w:marRight w:val="0"/>
              <w:marTop w:val="0"/>
              <w:marBottom w:val="0"/>
              <w:divBdr>
                <w:top w:val="none" w:sz="0" w:space="0" w:color="auto"/>
                <w:left w:val="none" w:sz="0" w:space="0" w:color="auto"/>
                <w:bottom w:val="none" w:sz="0" w:space="0" w:color="auto"/>
                <w:right w:val="none" w:sz="0" w:space="0" w:color="auto"/>
              </w:divBdr>
            </w:div>
          </w:divsChild>
        </w:div>
        <w:div w:id="1781686619">
          <w:marLeft w:val="0"/>
          <w:marRight w:val="0"/>
          <w:marTop w:val="0"/>
          <w:marBottom w:val="0"/>
          <w:divBdr>
            <w:top w:val="none" w:sz="0" w:space="0" w:color="auto"/>
            <w:left w:val="none" w:sz="0" w:space="0" w:color="auto"/>
            <w:bottom w:val="none" w:sz="0" w:space="0" w:color="auto"/>
            <w:right w:val="none" w:sz="0" w:space="0" w:color="auto"/>
          </w:divBdr>
        </w:div>
        <w:div w:id="1980919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m.login.em2.oraclecloud.com/oam/server/obrareq.cgi?encquery%3D%2FIf6mUZq3RBCgQ6mirGaWVHwStcqQK8vP7SaklnNUU3DWbm%2FVKuYxvP61AaXpq9OYwxvDoFCsvdfxDzqTaVKwUlq8MupuYnNUrtOOYSiyBWLGMRi9slubrh4Oo9JLpe%2BNRMD9Pi0vdZWoELloF39te2abuuxhOvwfwbPeoRYxSPoMBTU25N0ZQJshWsCFnBMIeNoZoTIp2BLuXnudYIbQzMcpbEWxubK2UG8pb%2FV1qQSa0v659fZBvVYj4jBmPnvtVIEvmYVNXspS8aXwCrrNWUAfIJavCMU7%2Bxr8wSpVB3OWQcLviAvJuggEDcpoXLkxkq%2BN5l8solnCxbdhHUI6TpJ6pOY2DV5ztZGDwxuiy5IO0ZXPmW96XqNejgWkGA9f7J28AQpHM%2FEVVct%2FgsZTwGzMZ0YqPA%2BM6PLUjRyjRz09Dh2ki%2FYg4S%2FAQZuKCOQlFbn%2BAfi82jAWWyEcn7qRuEMFts%2FyGiUO8FyPvWfwYQMlkt5aAW9shfwXfS21c5jPsHsw06QvtJYlmZwwkXF4g%3D%3D%20agentid%3DOraFusionApp_11AG%20ver%3D1%20crmethod%3D2%26cksum%3D2f145c8d192cc2c4bd3301be3f8d7deff69c419c&amp;ECID-Context=1.005lWo8z8si3z015RvK6yd0006HQ0000BJ%3BkXhgv0ZCLILIGVAPnJPRLPJBaHRO_JVB6UOPFMTPmMTQ_NS" TargetMode="External"/><Relationship Id="rId13" Type="http://schemas.openxmlformats.org/officeDocument/2006/relationships/hyperlink" Target="https://undp.sharepoint.com/:f:/s/Docs-Public/Ej0xTIhAuoZGr2MQnl3LcVMBYpIajxUk8mAyieFewxB7nQ?e=oK2ob7" TargetMode="External"/><Relationship Id="rId3" Type="http://schemas.openxmlformats.org/officeDocument/2006/relationships/webSettings" Target="webSettings.xml"/><Relationship Id="rId7" Type="http://schemas.openxmlformats.org/officeDocument/2006/relationships/hyperlink" Target="https://estm.fa.em2.oraclecloud.com/fscmUI/faces/PrcPosRegisterSupplier?prcBuId=300000127715297" TargetMode="External"/><Relationship Id="rId12" Type="http://schemas.openxmlformats.org/officeDocument/2006/relationships/hyperlink" Target="https://undp.sharepoint.com/sites/Docs-Public/Procurement/Forms/AllItems.aspx?env=Embedded&amp;isAscending=false&amp;FilterType1=Text&amp;sortField=Modified&amp;FilterField1=NegotiationNumber&amp;FilterValue1=UNDP-PSU-005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curement-notices.undp.org/docs/UNDP_Quantum_User_Guide_For_suppliers_October_Edition.pdf" TargetMode="External"/><Relationship Id="rId11" Type="http://schemas.openxmlformats.org/officeDocument/2006/relationships/hyperlink" Target="https://www.undp.org/procurement/business/resources-for-bidders" TargetMode="External"/><Relationship Id="rId5" Type="http://schemas.openxmlformats.org/officeDocument/2006/relationships/hyperlink" Target="mailto:pos.bids@undp.org" TargetMode="External"/><Relationship Id="rId15" Type="http://schemas.openxmlformats.org/officeDocument/2006/relationships/theme" Target="theme/theme1.xml"/><Relationship Id="rId10" Type="http://schemas.openxmlformats.org/officeDocument/2006/relationships/hyperlink" Target="http://supplier.quantum.partneragencies.org/" TargetMode="External"/><Relationship Id="rId4" Type="http://schemas.openxmlformats.org/officeDocument/2006/relationships/image" Target="media/image1.jpeg"/><Relationship Id="rId9" Type="http://schemas.openxmlformats.org/officeDocument/2006/relationships/hyperlink" Target="https://procurement-notices.undp.org/docs/UNDP_Quantum_User_Guide_For_suppliers_October_Edi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Solomone Fifita</dc:creator>
  <cp:keywords/>
  <dc:description/>
  <cp:lastModifiedBy>Sinalauli'i Fifita</cp:lastModifiedBy>
  <cp:revision>2</cp:revision>
  <dcterms:created xsi:type="dcterms:W3CDTF">2024-03-06T19:53:00Z</dcterms:created>
  <dcterms:modified xsi:type="dcterms:W3CDTF">2024-03-06T19:53:00Z</dcterms:modified>
</cp:coreProperties>
</file>