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EF62C" w14:textId="77777777" w:rsidR="000F534A" w:rsidRPr="0009109D" w:rsidRDefault="000F534A" w:rsidP="000F534A">
      <w:pPr>
        <w:tabs>
          <w:tab w:val="center" w:pos="4153"/>
        </w:tabs>
        <w:rPr>
          <w:rFonts w:cs="Times New Roman"/>
          <w:sz w:val="22"/>
          <w:szCs w:val="22"/>
        </w:rPr>
      </w:pPr>
    </w:p>
    <w:p w14:paraId="78D6AFFA" w14:textId="68B7B9E2" w:rsidR="00D607FB" w:rsidRPr="0009109D" w:rsidRDefault="00B50177" w:rsidP="000F534A">
      <w:pPr>
        <w:jc w:val="center"/>
        <w:rPr>
          <w:rFonts w:cs="Times New Roman"/>
          <w:spacing w:val="-2"/>
          <w:sz w:val="22"/>
          <w:szCs w:val="22"/>
        </w:rPr>
      </w:pPr>
      <w:r w:rsidRPr="0009109D">
        <w:rPr>
          <w:rFonts w:cs="Times New Roman"/>
          <w:b/>
          <w:spacing w:val="-2"/>
          <w:sz w:val="22"/>
          <w:szCs w:val="22"/>
        </w:rPr>
        <w:t>5</w:t>
      </w:r>
      <w:r w:rsidRPr="0009109D">
        <w:rPr>
          <w:rFonts w:cs="Times New Roman"/>
          <w:b/>
          <w:spacing w:val="-2"/>
          <w:sz w:val="22"/>
          <w:szCs w:val="22"/>
          <w:vertAlign w:val="superscript"/>
        </w:rPr>
        <w:t>th</w:t>
      </w:r>
      <w:r w:rsidRPr="0009109D">
        <w:rPr>
          <w:rFonts w:cs="Times New Roman"/>
          <w:b/>
          <w:spacing w:val="-2"/>
          <w:sz w:val="22"/>
          <w:szCs w:val="22"/>
        </w:rPr>
        <w:t xml:space="preserve"> PCREEE </w:t>
      </w:r>
      <w:r w:rsidR="0028308E" w:rsidRPr="0009109D">
        <w:rPr>
          <w:rFonts w:cs="Times New Roman"/>
          <w:b/>
          <w:spacing w:val="-2"/>
          <w:sz w:val="22"/>
          <w:szCs w:val="22"/>
        </w:rPr>
        <w:t>STEERING COMMITTEE</w:t>
      </w:r>
      <w:r w:rsidR="004356C7" w:rsidRPr="0009109D">
        <w:rPr>
          <w:rFonts w:cs="Times New Roman"/>
          <w:b/>
          <w:spacing w:val="-2"/>
          <w:sz w:val="22"/>
          <w:szCs w:val="22"/>
        </w:rPr>
        <w:t xml:space="preserve"> (PSC) MEETING </w:t>
      </w:r>
      <w:r w:rsidR="000F534A" w:rsidRPr="0009109D">
        <w:rPr>
          <w:rFonts w:cs="Times New Roman"/>
          <w:spacing w:val="-2"/>
          <w:sz w:val="22"/>
          <w:szCs w:val="22"/>
        </w:rPr>
        <w:t xml:space="preserve"> </w:t>
      </w:r>
    </w:p>
    <w:p w14:paraId="5F29FA4A" w14:textId="766E2A00" w:rsidR="000F534A" w:rsidRPr="0009109D" w:rsidRDefault="00A31DC1" w:rsidP="000F534A">
      <w:pPr>
        <w:jc w:val="center"/>
        <w:rPr>
          <w:rFonts w:cs="Times New Roman"/>
          <w:color w:val="000000" w:themeColor="text1"/>
          <w:sz w:val="22"/>
          <w:szCs w:val="22"/>
        </w:rPr>
      </w:pPr>
      <w:r w:rsidRPr="0009109D">
        <w:rPr>
          <w:rFonts w:cs="Times New Roman"/>
          <w:color w:val="000000" w:themeColor="text1"/>
          <w:spacing w:val="-2"/>
          <w:sz w:val="22"/>
          <w:szCs w:val="22"/>
        </w:rPr>
        <w:t>18</w:t>
      </w:r>
      <w:r w:rsidR="0028308E" w:rsidRPr="0009109D">
        <w:rPr>
          <w:rFonts w:cs="Times New Roman"/>
          <w:color w:val="000000" w:themeColor="text1"/>
          <w:spacing w:val="-2"/>
          <w:sz w:val="22"/>
          <w:szCs w:val="22"/>
          <w:vertAlign w:val="superscript"/>
        </w:rPr>
        <w:t>th</w:t>
      </w:r>
      <w:r w:rsidR="0028308E" w:rsidRPr="0009109D">
        <w:rPr>
          <w:rFonts w:cs="Times New Roman"/>
          <w:color w:val="000000" w:themeColor="text1"/>
          <w:spacing w:val="-2"/>
          <w:sz w:val="22"/>
          <w:szCs w:val="22"/>
        </w:rPr>
        <w:t xml:space="preserve"> </w:t>
      </w:r>
      <w:r w:rsidRPr="0009109D">
        <w:rPr>
          <w:rFonts w:cs="Times New Roman"/>
          <w:color w:val="000000" w:themeColor="text1"/>
          <w:spacing w:val="-2"/>
          <w:sz w:val="22"/>
          <w:szCs w:val="22"/>
        </w:rPr>
        <w:t>N</w:t>
      </w:r>
      <w:r w:rsidR="004356C7" w:rsidRPr="0009109D">
        <w:rPr>
          <w:rFonts w:cs="Times New Roman"/>
          <w:color w:val="000000" w:themeColor="text1"/>
          <w:spacing w:val="-2"/>
          <w:sz w:val="22"/>
          <w:szCs w:val="22"/>
        </w:rPr>
        <w:t xml:space="preserve">OVEMBER </w:t>
      </w:r>
      <w:r w:rsidRPr="0009109D">
        <w:rPr>
          <w:rFonts w:cs="Times New Roman"/>
          <w:color w:val="000000" w:themeColor="text1"/>
          <w:spacing w:val="-2"/>
          <w:sz w:val="22"/>
          <w:szCs w:val="22"/>
        </w:rPr>
        <w:t>2020</w:t>
      </w:r>
    </w:p>
    <w:p w14:paraId="2B332AD3" w14:textId="0D34207B" w:rsidR="00A31DC1" w:rsidRPr="0009109D" w:rsidRDefault="00A31DC1" w:rsidP="000F534A">
      <w:pPr>
        <w:jc w:val="center"/>
        <w:rPr>
          <w:rFonts w:cs="Times New Roman"/>
          <w:color w:val="000000" w:themeColor="text1"/>
          <w:sz w:val="22"/>
          <w:szCs w:val="22"/>
        </w:rPr>
      </w:pPr>
    </w:p>
    <w:p w14:paraId="23CEC4A2" w14:textId="733AFE4B" w:rsidR="00A31DC1" w:rsidRPr="0009109D" w:rsidRDefault="00A31DC1" w:rsidP="000F534A">
      <w:pPr>
        <w:jc w:val="center"/>
        <w:rPr>
          <w:rFonts w:cs="Times New Roman"/>
          <w:sz w:val="22"/>
          <w:szCs w:val="22"/>
        </w:rPr>
      </w:pPr>
      <w:r w:rsidRPr="0009109D">
        <w:rPr>
          <w:rFonts w:cs="Times New Roman"/>
          <w:color w:val="000000" w:themeColor="text1"/>
          <w:sz w:val="22"/>
          <w:szCs w:val="22"/>
        </w:rPr>
        <w:t xml:space="preserve">MODE: </w:t>
      </w:r>
      <w:r w:rsidRPr="0009109D">
        <w:rPr>
          <w:rFonts w:cs="Times New Roman"/>
          <w:spacing w:val="-2"/>
          <w:sz w:val="22"/>
          <w:szCs w:val="22"/>
        </w:rPr>
        <w:t>VIRTUAL</w:t>
      </w:r>
    </w:p>
    <w:p w14:paraId="6873CC03" w14:textId="77777777" w:rsidR="000F534A" w:rsidRPr="0009109D" w:rsidRDefault="000F534A" w:rsidP="000F534A">
      <w:pPr>
        <w:jc w:val="center"/>
        <w:rPr>
          <w:rFonts w:cs="Times New Roman"/>
          <w:sz w:val="22"/>
          <w:szCs w:val="22"/>
        </w:rPr>
      </w:pPr>
    </w:p>
    <w:p w14:paraId="3D6674D8" w14:textId="000FC7B2" w:rsidR="00537027" w:rsidRPr="0009109D" w:rsidRDefault="00537027" w:rsidP="00537027">
      <w:pPr>
        <w:spacing w:after="120"/>
        <w:jc w:val="center"/>
        <w:rPr>
          <w:rFonts w:eastAsia="Calibri" w:cs="Times New Roman"/>
          <w:b/>
          <w:sz w:val="22"/>
          <w:szCs w:val="22"/>
        </w:rPr>
      </w:pPr>
      <w:r w:rsidRPr="0009109D">
        <w:rPr>
          <w:rFonts w:eastAsia="Calibri" w:cs="Times New Roman"/>
          <w:b/>
          <w:sz w:val="22"/>
          <w:szCs w:val="22"/>
        </w:rPr>
        <w:t xml:space="preserve">AGENDA ITEM </w:t>
      </w:r>
      <w:r w:rsidR="0078131F" w:rsidRPr="0009109D">
        <w:rPr>
          <w:rFonts w:eastAsia="Calibri" w:cs="Times New Roman"/>
          <w:b/>
          <w:sz w:val="22"/>
          <w:szCs w:val="22"/>
        </w:rPr>
        <w:t>2</w:t>
      </w:r>
      <w:r w:rsidRPr="0009109D">
        <w:rPr>
          <w:rFonts w:eastAsia="Calibri" w:cs="Times New Roman"/>
          <w:b/>
          <w:sz w:val="22"/>
          <w:szCs w:val="22"/>
        </w:rPr>
        <w:t xml:space="preserve"> –</w:t>
      </w:r>
      <w:r w:rsidR="00992EE2" w:rsidRPr="0009109D">
        <w:rPr>
          <w:rFonts w:eastAsia="Calibri" w:cs="Times New Roman"/>
          <w:b/>
          <w:sz w:val="22"/>
          <w:szCs w:val="22"/>
        </w:rPr>
        <w:t xml:space="preserve"> </w:t>
      </w:r>
      <w:r w:rsidR="0078131F" w:rsidRPr="0009109D">
        <w:rPr>
          <w:rFonts w:eastAsia="Calibri" w:cs="Times New Roman"/>
          <w:b/>
          <w:sz w:val="22"/>
          <w:szCs w:val="22"/>
        </w:rPr>
        <w:t>Adoption of 4</w:t>
      </w:r>
      <w:r w:rsidR="0078131F" w:rsidRPr="0009109D">
        <w:rPr>
          <w:rFonts w:eastAsia="Calibri" w:cs="Times New Roman"/>
          <w:b/>
          <w:sz w:val="22"/>
          <w:szCs w:val="22"/>
          <w:vertAlign w:val="superscript"/>
        </w:rPr>
        <w:t>th</w:t>
      </w:r>
      <w:r w:rsidR="0078131F" w:rsidRPr="0009109D">
        <w:rPr>
          <w:rFonts w:eastAsia="Calibri" w:cs="Times New Roman"/>
          <w:b/>
          <w:sz w:val="22"/>
          <w:szCs w:val="22"/>
        </w:rPr>
        <w:t xml:space="preserve"> PSC Meeting Minutes</w:t>
      </w:r>
    </w:p>
    <w:p w14:paraId="14026A5C" w14:textId="77777777" w:rsidR="000F534A" w:rsidRPr="0009109D" w:rsidRDefault="000F534A" w:rsidP="00744E65">
      <w:pPr>
        <w:spacing w:after="120"/>
        <w:jc w:val="center"/>
        <w:rPr>
          <w:rFonts w:eastAsia="Calibri" w:cs="Times New Roman"/>
          <w:sz w:val="22"/>
          <w:szCs w:val="22"/>
        </w:rPr>
      </w:pPr>
    </w:p>
    <w:p w14:paraId="3BB7087D" w14:textId="77777777" w:rsidR="00151384" w:rsidRPr="0009109D" w:rsidRDefault="00151384" w:rsidP="00151384">
      <w:pPr>
        <w:jc w:val="both"/>
        <w:rPr>
          <w:rFonts w:cs="Times New Roman"/>
          <w:b/>
          <w:sz w:val="22"/>
          <w:szCs w:val="22"/>
        </w:rPr>
      </w:pPr>
      <w:r w:rsidRPr="0009109D">
        <w:rPr>
          <w:rFonts w:cs="Times New Roman"/>
          <w:b/>
          <w:sz w:val="22"/>
          <w:szCs w:val="22"/>
        </w:rPr>
        <w:t>Purpose</w:t>
      </w:r>
    </w:p>
    <w:p w14:paraId="77CD7EAB" w14:textId="77777777" w:rsidR="00151384" w:rsidRPr="0009109D" w:rsidRDefault="00151384" w:rsidP="00151384">
      <w:pPr>
        <w:jc w:val="both"/>
        <w:rPr>
          <w:rFonts w:cs="Times New Roman"/>
          <w:b/>
          <w:sz w:val="22"/>
          <w:szCs w:val="22"/>
        </w:rPr>
      </w:pPr>
    </w:p>
    <w:p w14:paraId="21816F78" w14:textId="3E56B420" w:rsidR="003C127E" w:rsidRPr="0009109D" w:rsidRDefault="00D1371A" w:rsidP="00173AD2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09109D">
        <w:rPr>
          <w:sz w:val="22"/>
          <w:szCs w:val="22"/>
        </w:rPr>
        <w:t xml:space="preserve">The </w:t>
      </w:r>
      <w:r w:rsidR="005E553A" w:rsidRPr="0009109D">
        <w:rPr>
          <w:sz w:val="22"/>
          <w:szCs w:val="22"/>
        </w:rPr>
        <w:t xml:space="preserve">purpose of this </w:t>
      </w:r>
      <w:r w:rsidR="003C127E" w:rsidRPr="0009109D">
        <w:rPr>
          <w:sz w:val="22"/>
          <w:szCs w:val="22"/>
        </w:rPr>
        <w:t xml:space="preserve">paper </w:t>
      </w:r>
      <w:r w:rsidR="005E553A" w:rsidRPr="0009109D">
        <w:rPr>
          <w:sz w:val="22"/>
          <w:szCs w:val="22"/>
        </w:rPr>
        <w:t xml:space="preserve">is to seek </w:t>
      </w:r>
      <w:r w:rsidR="004356C7" w:rsidRPr="0009109D">
        <w:rPr>
          <w:sz w:val="22"/>
          <w:szCs w:val="22"/>
        </w:rPr>
        <w:t>PSC’s</w:t>
      </w:r>
      <w:r w:rsidR="00B22996" w:rsidRPr="0009109D">
        <w:rPr>
          <w:sz w:val="22"/>
          <w:szCs w:val="22"/>
        </w:rPr>
        <w:t xml:space="preserve"> </w:t>
      </w:r>
      <w:r w:rsidR="00B22996" w:rsidRPr="0009109D">
        <w:rPr>
          <w:sz w:val="22"/>
          <w:szCs w:val="22"/>
          <w:u w:val="single"/>
        </w:rPr>
        <w:t>endorsement</w:t>
      </w:r>
      <w:r w:rsidR="00B22996" w:rsidRPr="0009109D">
        <w:rPr>
          <w:sz w:val="22"/>
          <w:szCs w:val="22"/>
        </w:rPr>
        <w:t xml:space="preserve"> </w:t>
      </w:r>
      <w:r w:rsidR="0078131F" w:rsidRPr="0009109D">
        <w:rPr>
          <w:sz w:val="22"/>
          <w:szCs w:val="22"/>
        </w:rPr>
        <w:t>on the 4</w:t>
      </w:r>
      <w:r w:rsidR="0078131F" w:rsidRPr="0009109D">
        <w:rPr>
          <w:sz w:val="22"/>
          <w:szCs w:val="22"/>
          <w:vertAlign w:val="superscript"/>
        </w:rPr>
        <w:t>th</w:t>
      </w:r>
      <w:r w:rsidR="0078131F" w:rsidRPr="0009109D">
        <w:rPr>
          <w:sz w:val="22"/>
          <w:szCs w:val="22"/>
        </w:rPr>
        <w:t xml:space="preserve"> PSC Meeting Minutes </w:t>
      </w:r>
    </w:p>
    <w:p w14:paraId="7D9E001E" w14:textId="77777777" w:rsidR="00151384" w:rsidRPr="0009109D" w:rsidRDefault="00151384" w:rsidP="003315FE">
      <w:pPr>
        <w:pStyle w:val="ListParagraph"/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31778193" w14:textId="77777777" w:rsidR="00151384" w:rsidRPr="0009109D" w:rsidRDefault="00151384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b/>
          <w:sz w:val="22"/>
          <w:szCs w:val="22"/>
        </w:rPr>
      </w:pPr>
      <w:r w:rsidRPr="0009109D">
        <w:rPr>
          <w:rFonts w:cs="Times New Roman"/>
          <w:b/>
          <w:sz w:val="22"/>
          <w:szCs w:val="22"/>
        </w:rPr>
        <w:t>Background</w:t>
      </w:r>
    </w:p>
    <w:p w14:paraId="50B2B5D9" w14:textId="77777777" w:rsidR="005653EB" w:rsidRPr="0009109D" w:rsidRDefault="005653EB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</w:p>
    <w:p w14:paraId="10D5C1BE" w14:textId="311CC4D7" w:rsidR="00937AD9" w:rsidRPr="0009109D" w:rsidRDefault="00937AD9" w:rsidP="00173AD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09109D">
        <w:rPr>
          <w:sz w:val="22"/>
          <w:szCs w:val="22"/>
          <w:lang w:val="en-US"/>
        </w:rPr>
        <w:t xml:space="preserve">The PCREEE Secretariat is hosted by the Kingdom of Tonga in Nuku’alofa. </w:t>
      </w:r>
      <w:r w:rsidR="008D27A2" w:rsidRPr="0009109D">
        <w:rPr>
          <w:sz w:val="22"/>
          <w:szCs w:val="22"/>
          <w:lang w:val="en-US"/>
        </w:rPr>
        <w:t xml:space="preserve">The work of the </w:t>
      </w:r>
      <w:r w:rsidRPr="0009109D">
        <w:rPr>
          <w:sz w:val="22"/>
          <w:szCs w:val="22"/>
          <w:lang w:val="en-US"/>
        </w:rPr>
        <w:t>PCREEE is guided by a Steering Committee (SC)</w:t>
      </w:r>
      <w:r w:rsidR="00431A97" w:rsidRPr="0009109D">
        <w:rPr>
          <w:sz w:val="22"/>
          <w:szCs w:val="22"/>
          <w:lang w:val="en-US"/>
        </w:rPr>
        <w:t xml:space="preserve"> which meet at least </w:t>
      </w:r>
      <w:r w:rsidR="00527228" w:rsidRPr="0009109D">
        <w:rPr>
          <w:sz w:val="22"/>
          <w:szCs w:val="22"/>
          <w:lang w:val="en-US"/>
        </w:rPr>
        <w:t xml:space="preserve">once </w:t>
      </w:r>
      <w:r w:rsidR="00431A97" w:rsidRPr="0009109D">
        <w:rPr>
          <w:sz w:val="22"/>
          <w:szCs w:val="22"/>
          <w:lang w:val="en-US"/>
        </w:rPr>
        <w:t>a year</w:t>
      </w:r>
    </w:p>
    <w:p w14:paraId="63B71869" w14:textId="77777777" w:rsidR="008D27A2" w:rsidRPr="0009109D" w:rsidRDefault="008D27A2" w:rsidP="008D27A2">
      <w:pPr>
        <w:pStyle w:val="ListParagraph"/>
        <w:autoSpaceDE w:val="0"/>
        <w:autoSpaceDN w:val="0"/>
        <w:adjustRightInd w:val="0"/>
        <w:ind w:left="360"/>
        <w:rPr>
          <w:sz w:val="22"/>
          <w:szCs w:val="22"/>
          <w:lang w:val="en-US"/>
        </w:rPr>
      </w:pPr>
    </w:p>
    <w:p w14:paraId="208B15E3" w14:textId="698A8814" w:rsidR="00187A17" w:rsidRPr="0009109D" w:rsidRDefault="00187A17" w:rsidP="00173A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9109D">
        <w:rPr>
          <w:sz w:val="22"/>
          <w:szCs w:val="22"/>
        </w:rPr>
        <w:t xml:space="preserve">The SC provides strategic guidance to the annual work plans and budgets, progress reports and financial statement of the Centre before recommending them for the approval of the </w:t>
      </w:r>
      <w:r w:rsidR="00527228" w:rsidRPr="0009109D">
        <w:rPr>
          <w:sz w:val="22"/>
          <w:szCs w:val="22"/>
        </w:rPr>
        <w:t>SP</w:t>
      </w:r>
      <w:r w:rsidRPr="0009109D">
        <w:rPr>
          <w:sz w:val="22"/>
          <w:szCs w:val="22"/>
        </w:rPr>
        <w:t xml:space="preserve">C Executives and CRGA. </w:t>
      </w:r>
    </w:p>
    <w:p w14:paraId="58E6102F" w14:textId="77777777" w:rsidR="00187A17" w:rsidRPr="0009109D" w:rsidRDefault="00187A17" w:rsidP="00187A17">
      <w:pPr>
        <w:pStyle w:val="ListParagraph"/>
        <w:autoSpaceDE w:val="0"/>
        <w:autoSpaceDN w:val="0"/>
        <w:adjustRightInd w:val="0"/>
        <w:ind w:left="360"/>
        <w:jc w:val="both"/>
        <w:rPr>
          <w:sz w:val="22"/>
          <w:szCs w:val="22"/>
          <w:lang w:eastAsia="en-US"/>
        </w:rPr>
      </w:pPr>
    </w:p>
    <w:p w14:paraId="18A0E537" w14:textId="0452D2B2" w:rsidR="00A65F35" w:rsidRPr="0009109D" w:rsidRDefault="009958D9" w:rsidP="005733F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09109D">
        <w:rPr>
          <w:sz w:val="22"/>
          <w:szCs w:val="22"/>
          <w:lang w:eastAsia="en-US"/>
        </w:rPr>
        <w:t>The 4</w:t>
      </w:r>
      <w:r w:rsidRPr="0009109D">
        <w:rPr>
          <w:sz w:val="22"/>
          <w:szCs w:val="22"/>
          <w:vertAlign w:val="superscript"/>
          <w:lang w:eastAsia="en-US"/>
        </w:rPr>
        <w:t>th</w:t>
      </w:r>
      <w:r w:rsidRPr="0009109D">
        <w:rPr>
          <w:sz w:val="22"/>
          <w:szCs w:val="22"/>
          <w:lang w:eastAsia="en-US"/>
        </w:rPr>
        <w:t xml:space="preserve"> </w:t>
      </w:r>
      <w:r w:rsidR="00D46086" w:rsidRPr="0009109D">
        <w:rPr>
          <w:sz w:val="22"/>
          <w:szCs w:val="22"/>
          <w:lang w:eastAsia="en-US"/>
        </w:rPr>
        <w:t xml:space="preserve">SC </w:t>
      </w:r>
      <w:r w:rsidRPr="0009109D">
        <w:rPr>
          <w:sz w:val="22"/>
          <w:szCs w:val="22"/>
          <w:lang w:eastAsia="en-US"/>
        </w:rPr>
        <w:t xml:space="preserve">in 2019 </w:t>
      </w:r>
      <w:r w:rsidR="00D46086" w:rsidRPr="0009109D">
        <w:rPr>
          <w:sz w:val="22"/>
          <w:szCs w:val="22"/>
          <w:lang w:eastAsia="en-US"/>
        </w:rPr>
        <w:t>was held on 4</w:t>
      </w:r>
      <w:r w:rsidR="00D46086" w:rsidRPr="0009109D">
        <w:rPr>
          <w:sz w:val="22"/>
          <w:szCs w:val="22"/>
          <w:vertAlign w:val="superscript"/>
          <w:lang w:eastAsia="en-US"/>
        </w:rPr>
        <w:t>th</w:t>
      </w:r>
      <w:r w:rsidR="00D46086" w:rsidRPr="0009109D">
        <w:rPr>
          <w:sz w:val="22"/>
          <w:szCs w:val="22"/>
          <w:lang w:eastAsia="en-US"/>
        </w:rPr>
        <w:t xml:space="preserve"> </w:t>
      </w:r>
      <w:r w:rsidR="0010452C" w:rsidRPr="0009109D">
        <w:rPr>
          <w:sz w:val="22"/>
          <w:szCs w:val="22"/>
          <w:lang w:eastAsia="en-US"/>
        </w:rPr>
        <w:t>December in Vava</w:t>
      </w:r>
      <w:r w:rsidR="00F24F87">
        <w:rPr>
          <w:sz w:val="22"/>
          <w:szCs w:val="22"/>
          <w:lang w:eastAsia="en-US"/>
        </w:rPr>
        <w:t>’</w:t>
      </w:r>
      <w:r w:rsidR="0010452C" w:rsidRPr="0009109D">
        <w:rPr>
          <w:sz w:val="22"/>
          <w:szCs w:val="22"/>
          <w:lang w:eastAsia="en-US"/>
        </w:rPr>
        <w:t xml:space="preserve">u, Kingdom of Tonga. </w:t>
      </w:r>
      <w:r w:rsidR="0009109D" w:rsidRPr="0009109D">
        <w:rPr>
          <w:sz w:val="22"/>
          <w:szCs w:val="22"/>
          <w:lang w:eastAsia="en-US"/>
        </w:rPr>
        <w:t xml:space="preserve">The meeting was conducted back to back with the Tonga Energy Sector Stakeholder and Joint Development Partners Meeting. </w:t>
      </w:r>
    </w:p>
    <w:p w14:paraId="14CCCA9F" w14:textId="77777777" w:rsidR="0009109D" w:rsidRPr="0009109D" w:rsidRDefault="0009109D" w:rsidP="0009109D">
      <w:pPr>
        <w:pStyle w:val="ListParagraph"/>
        <w:rPr>
          <w:sz w:val="22"/>
          <w:szCs w:val="22"/>
          <w:lang w:val="en-US"/>
        </w:rPr>
      </w:pPr>
    </w:p>
    <w:p w14:paraId="4A88755C" w14:textId="7556179F" w:rsidR="0009109D" w:rsidRDefault="0009109D" w:rsidP="0009109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9109D">
        <w:rPr>
          <w:sz w:val="22"/>
          <w:szCs w:val="22"/>
          <w:lang w:eastAsia="en-US"/>
        </w:rPr>
        <w:t xml:space="preserve">The SC meeting was chaired by the Director of the Tonga Department of Energy.  </w:t>
      </w:r>
      <w:r w:rsidRPr="0009109D">
        <w:rPr>
          <w:sz w:val="22"/>
          <w:szCs w:val="22"/>
          <w:lang w:val="en-US"/>
        </w:rPr>
        <w:t>The meeting agenda has been consistent with the previous SC meetings except for the updated contents.</w:t>
      </w:r>
      <w:r w:rsidRPr="0009109D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Meeting Minutes is attached as </w:t>
      </w:r>
      <w:r w:rsidRPr="0009109D">
        <w:rPr>
          <w:b/>
          <w:bCs/>
          <w:sz w:val="22"/>
          <w:szCs w:val="22"/>
          <w:lang w:eastAsia="en-US"/>
        </w:rPr>
        <w:t>Annex 1</w:t>
      </w:r>
      <w:r>
        <w:rPr>
          <w:sz w:val="22"/>
          <w:szCs w:val="22"/>
          <w:lang w:eastAsia="en-US"/>
        </w:rPr>
        <w:t xml:space="preserve">. </w:t>
      </w:r>
    </w:p>
    <w:p w14:paraId="4383B900" w14:textId="77777777" w:rsidR="0009109D" w:rsidRPr="0009109D" w:rsidRDefault="0009109D" w:rsidP="0009109D">
      <w:pPr>
        <w:pStyle w:val="ListParagraph"/>
        <w:rPr>
          <w:sz w:val="22"/>
          <w:szCs w:val="22"/>
          <w:lang w:eastAsia="en-US"/>
        </w:rPr>
      </w:pPr>
    </w:p>
    <w:p w14:paraId="21D4822C" w14:textId="77777777" w:rsidR="0009109D" w:rsidRPr="0009109D" w:rsidRDefault="0009109D" w:rsidP="0009109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9109D">
        <w:rPr>
          <w:sz w:val="22"/>
          <w:szCs w:val="22"/>
          <w:lang w:val="en-US"/>
        </w:rPr>
        <w:t xml:space="preserve">Development Partner representatives in Tonga (European Union, WB and ADB) who attended the </w:t>
      </w:r>
      <w:r w:rsidRPr="0009109D">
        <w:rPr>
          <w:sz w:val="22"/>
          <w:szCs w:val="22"/>
          <w:lang w:eastAsia="en-US"/>
        </w:rPr>
        <w:t>Tonga Energy Sector Stakeholder and Joint Development Partners Meeting also attended the 4</w:t>
      </w:r>
      <w:r w:rsidRPr="0009109D">
        <w:rPr>
          <w:sz w:val="22"/>
          <w:szCs w:val="22"/>
          <w:vertAlign w:val="superscript"/>
          <w:lang w:eastAsia="en-US"/>
        </w:rPr>
        <w:t>th</w:t>
      </w:r>
      <w:r w:rsidRPr="0009109D">
        <w:rPr>
          <w:sz w:val="22"/>
          <w:szCs w:val="22"/>
          <w:lang w:eastAsia="en-US"/>
        </w:rPr>
        <w:t xml:space="preserve"> PSC Meeting. </w:t>
      </w:r>
    </w:p>
    <w:p w14:paraId="22CE5ED3" w14:textId="1BE15EB3" w:rsidR="00D607FB" w:rsidRDefault="00D607FB" w:rsidP="00D607FB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2FFABEDD" w14:textId="4178E2DA" w:rsidR="0009109D" w:rsidRDefault="0009109D" w:rsidP="00D607FB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67F1286B" w14:textId="77777777" w:rsidR="0009109D" w:rsidRPr="0009109D" w:rsidRDefault="0009109D" w:rsidP="00D607FB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621890ED" w14:textId="77777777" w:rsidR="0086552A" w:rsidRPr="0009109D" w:rsidRDefault="0086552A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b/>
          <w:sz w:val="22"/>
          <w:szCs w:val="22"/>
          <w:lang w:val="en-US"/>
        </w:rPr>
      </w:pPr>
      <w:r w:rsidRPr="0009109D">
        <w:rPr>
          <w:rFonts w:cs="Times New Roman"/>
          <w:b/>
          <w:sz w:val="22"/>
          <w:szCs w:val="22"/>
          <w:lang w:val="en-US"/>
        </w:rPr>
        <w:t>Current</w:t>
      </w:r>
      <w:r w:rsidR="00AA3F45" w:rsidRPr="0009109D">
        <w:rPr>
          <w:rFonts w:cs="Times New Roman"/>
          <w:b/>
          <w:sz w:val="22"/>
          <w:szCs w:val="22"/>
          <w:lang w:val="en-US"/>
        </w:rPr>
        <w:t xml:space="preserve"> S</w:t>
      </w:r>
      <w:r w:rsidRPr="0009109D">
        <w:rPr>
          <w:rFonts w:cs="Times New Roman"/>
          <w:b/>
          <w:sz w:val="22"/>
          <w:szCs w:val="22"/>
          <w:lang w:val="en-US"/>
        </w:rPr>
        <w:t xml:space="preserve">tatus </w:t>
      </w:r>
    </w:p>
    <w:p w14:paraId="637CD0DA" w14:textId="77777777" w:rsidR="0086552A" w:rsidRPr="0009109D" w:rsidRDefault="0086552A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</w:p>
    <w:p w14:paraId="3B24AC58" w14:textId="136A71D5" w:rsidR="00904DED" w:rsidRPr="0009109D" w:rsidRDefault="00AB7DF1" w:rsidP="00173A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val="en-US"/>
        </w:rPr>
        <w:t xml:space="preserve">Below are matters arising from the minutes of PSC4 and the progress with their implementation: </w:t>
      </w:r>
    </w:p>
    <w:p w14:paraId="0945DC2A" w14:textId="77777777" w:rsidR="00904DED" w:rsidRPr="00AB7DF1" w:rsidRDefault="00904DED" w:rsidP="00904DED">
      <w:pPr>
        <w:pStyle w:val="ListParagraph"/>
        <w:rPr>
          <w:sz w:val="22"/>
          <w:szCs w:val="22"/>
        </w:rPr>
      </w:pPr>
    </w:p>
    <w:p w14:paraId="58F7975D" w14:textId="0D7D9FCC" w:rsidR="0098721C" w:rsidRDefault="00AF2211" w:rsidP="00F24F87">
      <w:pPr>
        <w:pStyle w:val="NoSpacing"/>
        <w:numPr>
          <w:ilvl w:val="0"/>
          <w:numId w:val="4"/>
        </w:numPr>
        <w:tabs>
          <w:tab w:val="left" w:pos="567"/>
        </w:tabs>
        <w:jc w:val="both"/>
        <w:rPr>
          <w:rFonts w:cs="Times New Roman"/>
          <w:sz w:val="22"/>
          <w:szCs w:val="22"/>
          <w:lang w:val="en-US"/>
        </w:rPr>
      </w:pPr>
      <w:r w:rsidRPr="0009109D">
        <w:rPr>
          <w:rFonts w:cs="Times New Roman"/>
          <w:sz w:val="22"/>
          <w:szCs w:val="22"/>
          <w:lang w:val="en-US"/>
        </w:rPr>
        <w:t>Manager’s Progress Report</w:t>
      </w:r>
      <w:r w:rsidR="0098721C" w:rsidRPr="0009109D">
        <w:rPr>
          <w:rFonts w:cs="Times New Roman"/>
          <w:sz w:val="22"/>
          <w:szCs w:val="22"/>
          <w:lang w:val="en-US"/>
        </w:rPr>
        <w:t>;</w:t>
      </w:r>
    </w:p>
    <w:p w14:paraId="27681E64" w14:textId="7822579F" w:rsidR="0048172D" w:rsidRDefault="0048172D" w:rsidP="0048172D">
      <w:pPr>
        <w:pStyle w:val="NoSpacing"/>
        <w:tabs>
          <w:tab w:val="left" w:pos="567"/>
        </w:tabs>
        <w:jc w:val="both"/>
        <w:rPr>
          <w:rFonts w:cs="Times New Roman"/>
          <w:sz w:val="22"/>
          <w:szCs w:val="22"/>
          <w:lang w:val="en-US"/>
        </w:rPr>
      </w:pPr>
    </w:p>
    <w:tbl>
      <w:tblPr>
        <w:tblW w:w="97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56"/>
        <w:gridCol w:w="718"/>
        <w:gridCol w:w="830"/>
        <w:gridCol w:w="472"/>
        <w:gridCol w:w="485"/>
        <w:gridCol w:w="5484"/>
      </w:tblGrid>
      <w:tr w:rsidR="006C3D3A" w:rsidRPr="00AB7DF1" w14:paraId="7C195716" w14:textId="77777777" w:rsidTr="006C3D3A">
        <w:trPr>
          <w:trHeight w:val="410"/>
          <w:tblHeader/>
        </w:trPr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3EAD521D" w14:textId="77777777" w:rsidR="006C3D3A" w:rsidRPr="00AB7DF1" w:rsidRDefault="006C3D3A" w:rsidP="00936D9B">
            <w:pPr>
              <w:spacing w:after="1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Event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1A33F901" w14:textId="77777777" w:rsidR="006C3D3A" w:rsidRPr="00AB7DF1" w:rsidRDefault="006C3D3A" w:rsidP="00936D9B">
            <w:pPr>
              <w:spacing w:after="1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2017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56E4665E" w14:textId="77777777" w:rsidR="006C3D3A" w:rsidRPr="00AB7DF1" w:rsidRDefault="006C3D3A" w:rsidP="00936D9B">
            <w:pPr>
              <w:spacing w:after="1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2018</w:t>
            </w:r>
          </w:p>
        </w:tc>
        <w:tc>
          <w:tcPr>
            <w:tcW w:w="4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7F72C" w14:textId="77777777" w:rsidR="006C3D3A" w:rsidRPr="00AB7DF1" w:rsidRDefault="006C3D3A" w:rsidP="00936D9B">
            <w:pPr>
              <w:spacing w:after="1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2019</w:t>
            </w: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65121059" w14:textId="77777777" w:rsidR="006C3D3A" w:rsidRPr="00AB7DF1" w:rsidRDefault="006C3D3A" w:rsidP="00936D9B">
            <w:pPr>
              <w:spacing w:after="160"/>
              <w:jc w:val="center"/>
              <w:rPr>
                <w:rFonts w:eastAsia="Calibri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AB7DF1">
              <w:rPr>
                <w:rFonts w:eastAsia="Calibri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2020</w:t>
            </w:r>
          </w:p>
        </w:tc>
        <w:tc>
          <w:tcPr>
            <w:tcW w:w="54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010A1D79" w14:textId="77777777" w:rsidR="006C3D3A" w:rsidRPr="00AB7DF1" w:rsidRDefault="006C3D3A" w:rsidP="00936D9B">
            <w:pPr>
              <w:spacing w:after="1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2020 Events</w:t>
            </w:r>
          </w:p>
        </w:tc>
      </w:tr>
      <w:tr w:rsidR="006C3D3A" w:rsidRPr="00AB7DF1" w14:paraId="32CE1229" w14:textId="77777777" w:rsidTr="00936D9B">
        <w:trPr>
          <w:trHeight w:val="356"/>
        </w:trPr>
        <w:tc>
          <w:tcPr>
            <w:tcW w:w="17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732EE6AB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MoUs signed</w:t>
            </w:r>
          </w:p>
        </w:tc>
        <w:tc>
          <w:tcPr>
            <w:tcW w:w="7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69542747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5C73C40E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53130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4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3ACF20D" w14:textId="77777777" w:rsidR="006C3D3A" w:rsidRPr="00AB7DF1" w:rsidRDefault="006C3D3A" w:rsidP="00936D9B">
            <w:pPr>
              <w:spacing w:after="160"/>
              <w:jc w:val="both"/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54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4CCEC0FA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Eco CARE Pacific Trust</w:t>
            </w:r>
          </w:p>
        </w:tc>
      </w:tr>
      <w:tr w:rsidR="006C3D3A" w:rsidRPr="00AB7DF1" w14:paraId="5EB534BB" w14:textId="77777777" w:rsidTr="00936D9B">
        <w:trPr>
          <w:trHeight w:val="287"/>
        </w:trPr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269B727B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Joint events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3483AC61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3A78DAF5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4BB0D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E38B798" w14:textId="3425D82A" w:rsidR="006C3D3A" w:rsidRPr="00AB7DF1" w:rsidRDefault="006C3D3A" w:rsidP="006C3D3A">
            <w:pPr>
              <w:spacing w:after="160"/>
              <w:jc w:val="both"/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5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00E7FBD8" w14:textId="6C533291" w:rsidR="006C3D3A" w:rsidRPr="00AB7DF1" w:rsidRDefault="006C3D3A" w:rsidP="006C3D3A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3 webinar series</w:t>
            </w: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2 roundtables</w:t>
            </w: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 xml:space="preserve"> &amp; 2 joint awareness and promotions</w:t>
            </w:r>
          </w:p>
        </w:tc>
      </w:tr>
      <w:tr w:rsidR="006C3D3A" w:rsidRPr="0032613E" w14:paraId="4994B1E2" w14:textId="77777777" w:rsidTr="00936D9B">
        <w:trPr>
          <w:trHeight w:val="670"/>
        </w:trPr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68B4CAAA" w14:textId="77777777" w:rsidR="006C3D3A" w:rsidRPr="00AB7DF1" w:rsidRDefault="006C3D3A" w:rsidP="00936D9B">
            <w:pPr>
              <w:spacing w:after="160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National business workshops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7ACFD42A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120B4B7E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BDA8B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CDBE210" w14:textId="3A4E26F3" w:rsidR="006C3D3A" w:rsidRPr="00AB7DF1" w:rsidRDefault="006C3D3A" w:rsidP="00936D9B">
            <w:pPr>
              <w:spacing w:after="160"/>
              <w:jc w:val="both"/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5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3A7C31F1" w14:textId="34B38DE8" w:rsidR="006C3D3A" w:rsidRPr="00AB7DF1" w:rsidRDefault="00AB7DF1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 xml:space="preserve">7 </w:t>
            </w:r>
            <w:r w:rsidR="006C3D3A"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National consultations on the BP and emobility programme – Niue, Nauru, Palau, Tuvalu, Solomon Is, Tonga and Vanuatu.</w:t>
            </w:r>
          </w:p>
        </w:tc>
      </w:tr>
      <w:tr w:rsidR="006C3D3A" w:rsidRPr="0032613E" w14:paraId="159F4D9B" w14:textId="77777777" w:rsidTr="00936D9B">
        <w:trPr>
          <w:trHeight w:val="196"/>
        </w:trPr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687901F1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lastRenderedPageBreak/>
              <w:t>Regional workshops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054C6866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5F4DCF78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D1432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19CA7B1" w14:textId="77777777" w:rsidR="006C3D3A" w:rsidRPr="00AB7DF1" w:rsidRDefault="006C3D3A" w:rsidP="00936D9B">
            <w:pPr>
              <w:spacing w:after="160"/>
              <w:jc w:val="both"/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5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31DA0FDD" w14:textId="100D1243" w:rsidR="006C3D3A" w:rsidRPr="00AB7DF1" w:rsidRDefault="006C3D3A" w:rsidP="00AB7DF1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 xml:space="preserve"> A Tariff Review webinar for Tonga was opened to regional participants and about 3</w:t>
            </w:r>
            <w:r w:rsidR="00AB7DF1"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1</w:t>
            </w: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 xml:space="preserve"> from around the region participated </w:t>
            </w:r>
          </w:p>
        </w:tc>
      </w:tr>
      <w:tr w:rsidR="006C3D3A" w:rsidRPr="0032613E" w14:paraId="7BF2B366" w14:textId="77777777" w:rsidTr="00936D9B">
        <w:trPr>
          <w:trHeight w:val="42"/>
        </w:trPr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1B70EF41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Energy Invest Forum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56975014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05E7E357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92C71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6FAA87D" w14:textId="77777777" w:rsidR="006C3D3A" w:rsidRPr="00AB7DF1" w:rsidRDefault="006C3D3A" w:rsidP="00936D9B">
            <w:pPr>
              <w:spacing w:after="160"/>
              <w:jc w:val="both"/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5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091EC185" w14:textId="2E993202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 xml:space="preserve"> Virtual forums</w:t>
            </w:r>
            <w:r w:rsidR="00AB7DF1"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 xml:space="preserve"> – 3 webinars &amp; 2 roundtables</w:t>
            </w:r>
          </w:p>
        </w:tc>
      </w:tr>
      <w:tr w:rsidR="006C3D3A" w:rsidRPr="0032613E" w14:paraId="55B8528F" w14:textId="77777777" w:rsidTr="00AB7DF1">
        <w:trPr>
          <w:trHeight w:val="733"/>
        </w:trPr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28D95714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Support to Industry Associations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34EE5A08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3700AE7D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2B320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40E9191" w14:textId="77777777" w:rsidR="006C3D3A" w:rsidRPr="00AB7DF1" w:rsidRDefault="006C3D3A" w:rsidP="00936D9B">
            <w:pPr>
              <w:spacing w:after="160"/>
              <w:jc w:val="both"/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5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5DF33154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Vanuatu</w:t>
            </w:r>
          </w:p>
        </w:tc>
      </w:tr>
      <w:tr w:rsidR="006C3D3A" w:rsidRPr="0032613E" w14:paraId="546027C3" w14:textId="77777777" w:rsidTr="00936D9B">
        <w:trPr>
          <w:trHeight w:val="502"/>
        </w:trPr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1B441922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Research support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1E84F762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6E132FC2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1C186A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5DE18CEC" w14:textId="77777777" w:rsidR="006C3D3A" w:rsidRPr="00AB7DF1" w:rsidRDefault="006C3D3A" w:rsidP="00936D9B">
            <w:pPr>
              <w:spacing w:after="160"/>
              <w:jc w:val="both"/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30E821A9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  <w:tr w:rsidR="006C3D3A" w:rsidRPr="0032613E" w14:paraId="7FD6DDDD" w14:textId="77777777" w:rsidTr="00936D9B">
        <w:trPr>
          <w:trHeight w:val="502"/>
        </w:trPr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07E235BD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People trained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0C345B98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4FAA9815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285</w:t>
            </w:r>
          </w:p>
        </w:tc>
        <w:tc>
          <w:tcPr>
            <w:tcW w:w="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92A81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449</w:t>
            </w: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35007EA4" w14:textId="77777777" w:rsidR="006C3D3A" w:rsidRPr="00AB7DF1" w:rsidRDefault="006C3D3A" w:rsidP="00936D9B">
            <w:pPr>
              <w:spacing w:after="160"/>
              <w:jc w:val="both"/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5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6D1E2141" w14:textId="77777777" w:rsidR="006C3D3A" w:rsidRPr="00AB7DF1" w:rsidRDefault="006C3D3A" w:rsidP="00936D9B">
            <w:pPr>
              <w:spacing w:after="160"/>
              <w:jc w:val="both"/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62+ 35 + 35 + 24 + 8 [8R / 156N] – 51 in 2020</w:t>
            </w:r>
          </w:p>
          <w:p w14:paraId="6F072301" w14:textId="75EFE835" w:rsidR="00AB7DF1" w:rsidRPr="00AB7DF1" w:rsidRDefault="00AB7DF1" w:rsidP="00AB7DF1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 xml:space="preserve">20 from the Tonga electrical safety workshop and 31 from the Tonga tariff review webinar.  </w:t>
            </w:r>
          </w:p>
        </w:tc>
      </w:tr>
      <w:tr w:rsidR="006C3D3A" w:rsidRPr="0032613E" w14:paraId="1CCAA76D" w14:textId="77777777" w:rsidTr="00936D9B">
        <w:trPr>
          <w:trHeight w:val="611"/>
        </w:trPr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710A54E7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Funding proposals</w:t>
            </w:r>
          </w:p>
        </w:tc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3468183B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18766215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D8085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5582D56" w14:textId="77777777" w:rsidR="006C3D3A" w:rsidRPr="00AB7DF1" w:rsidRDefault="006C3D3A" w:rsidP="00936D9B">
            <w:pPr>
              <w:spacing w:after="160"/>
              <w:jc w:val="both"/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9" w:type="dxa"/>
              <w:left w:w="139" w:type="dxa"/>
              <w:bottom w:w="69" w:type="dxa"/>
              <w:right w:w="139" w:type="dxa"/>
            </w:tcMar>
            <w:hideMark/>
          </w:tcPr>
          <w:p w14:paraId="22CFE681" w14:textId="77777777" w:rsidR="006C3D3A" w:rsidRPr="00AB7DF1" w:rsidRDefault="006C3D3A" w:rsidP="00936D9B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7DF1">
              <w:rPr>
                <w:rFonts w:eastAsia="Calibri" w:cs="Times New Roman"/>
                <w:color w:val="000000" w:themeColor="text1"/>
                <w:kern w:val="24"/>
                <w:sz w:val="20"/>
                <w:szCs w:val="20"/>
              </w:rPr>
              <w:t xml:space="preserve">Circular Economy (Tonga), Low Carbon Transport &amp; Results-based Financing Facility (Vanuatu) and Clean Tech Innovation (Regional)  </w:t>
            </w:r>
          </w:p>
        </w:tc>
      </w:tr>
    </w:tbl>
    <w:p w14:paraId="5888599C" w14:textId="3F2FA54D" w:rsidR="0048172D" w:rsidRPr="006C3D3A" w:rsidRDefault="0048172D" w:rsidP="0048172D">
      <w:pPr>
        <w:pStyle w:val="NoSpacing"/>
        <w:tabs>
          <w:tab w:val="left" w:pos="567"/>
        </w:tabs>
        <w:jc w:val="both"/>
        <w:rPr>
          <w:rFonts w:cs="Times New Roman"/>
          <w:sz w:val="22"/>
          <w:szCs w:val="22"/>
        </w:rPr>
      </w:pPr>
    </w:p>
    <w:p w14:paraId="4EB120F0" w14:textId="23ADAD26" w:rsidR="0098721C" w:rsidRDefault="0048172D" w:rsidP="0048172D">
      <w:pPr>
        <w:pStyle w:val="NoSpacing"/>
        <w:tabs>
          <w:tab w:val="left" w:pos="851"/>
        </w:tabs>
        <w:ind w:left="851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ii) </w:t>
      </w:r>
      <w:r>
        <w:rPr>
          <w:rFonts w:cs="Times New Roman"/>
          <w:sz w:val="22"/>
          <w:szCs w:val="22"/>
          <w:lang w:val="en-US"/>
        </w:rPr>
        <w:tab/>
      </w:r>
      <w:r w:rsidR="00AF2211" w:rsidRPr="0009109D">
        <w:rPr>
          <w:rFonts w:cs="Times New Roman"/>
          <w:sz w:val="22"/>
          <w:szCs w:val="22"/>
          <w:lang w:val="en-US"/>
        </w:rPr>
        <w:t>PCREEE’s Strategic and Future Direction</w:t>
      </w:r>
      <w:r w:rsidR="0098721C" w:rsidRPr="0009109D">
        <w:rPr>
          <w:rFonts w:cs="Times New Roman"/>
          <w:sz w:val="22"/>
          <w:szCs w:val="22"/>
          <w:lang w:val="en-US"/>
        </w:rPr>
        <w:t>;</w:t>
      </w:r>
    </w:p>
    <w:p w14:paraId="6CA26179" w14:textId="19206B3D" w:rsidR="0048172D" w:rsidRDefault="0048172D" w:rsidP="0048172D">
      <w:pPr>
        <w:pStyle w:val="NoSpacing"/>
        <w:tabs>
          <w:tab w:val="left" w:pos="567"/>
        </w:tabs>
        <w:jc w:val="both"/>
        <w:rPr>
          <w:rFonts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059"/>
      </w:tblGrid>
      <w:tr w:rsidR="00E21FAC" w:rsidRPr="00E21FAC" w14:paraId="60CC36FF" w14:textId="77777777" w:rsidTr="00E21FAC"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14:paraId="12A5BD45" w14:textId="208E9FC1" w:rsidR="00E21FAC" w:rsidRPr="00E21FAC" w:rsidRDefault="00E21FAC" w:rsidP="00BE45D3">
            <w:pPr>
              <w:spacing w:after="200" w:line="276" w:lineRule="auto"/>
              <w:ind w:left="460"/>
              <w:jc w:val="both"/>
              <w:rPr>
                <w:rFonts w:cs="Times New Roman"/>
                <w:b/>
                <w:color w:val="FFFFFF" w:themeColor="background1"/>
              </w:rPr>
            </w:pPr>
            <w:r w:rsidRPr="00E21FAC">
              <w:rPr>
                <w:rFonts w:cs="Times New Roman"/>
                <w:b/>
                <w:color w:val="FFFFFF" w:themeColor="background1"/>
              </w:rPr>
              <w:t xml:space="preserve">Strategic &amp; Future Direction </w:t>
            </w:r>
          </w:p>
        </w:tc>
        <w:tc>
          <w:tcPr>
            <w:tcW w:w="4059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14:paraId="7B5AADD8" w14:textId="7FFF87B2" w:rsidR="00E21FAC" w:rsidRPr="00E21FAC" w:rsidRDefault="00E21FAC" w:rsidP="00BE45D3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E21FAC">
              <w:rPr>
                <w:rFonts w:cs="Times New Roman"/>
                <w:b/>
                <w:color w:val="FFFFFF" w:themeColor="background1"/>
                <w:sz w:val="22"/>
                <w:szCs w:val="22"/>
                <w:lang w:val="en-US"/>
              </w:rPr>
              <w:t xml:space="preserve">Progress </w:t>
            </w:r>
          </w:p>
        </w:tc>
      </w:tr>
      <w:tr w:rsidR="0048172D" w:rsidRPr="00862A34" w14:paraId="59F97D75" w14:textId="77777777" w:rsidTr="00862A34">
        <w:trPr>
          <w:trHeight w:val="3323"/>
        </w:trPr>
        <w:tc>
          <w:tcPr>
            <w:tcW w:w="4678" w:type="dxa"/>
            <w:tcBorders>
              <w:top w:val="single" w:sz="4" w:space="0" w:color="FFFFFF" w:themeColor="background1"/>
            </w:tcBorders>
          </w:tcPr>
          <w:p w14:paraId="7C8DD43E" w14:textId="77777777" w:rsidR="0048172D" w:rsidRPr="00862A34" w:rsidRDefault="0048172D" w:rsidP="00862A34">
            <w:pPr>
              <w:pStyle w:val="ListParagraph"/>
              <w:numPr>
                <w:ilvl w:val="0"/>
                <w:numId w:val="10"/>
              </w:numPr>
              <w:ind w:left="313" w:hanging="313"/>
              <w:jc w:val="both"/>
              <w:rPr>
                <w:sz w:val="20"/>
                <w:szCs w:val="20"/>
              </w:rPr>
            </w:pPr>
            <w:r w:rsidRPr="00862A34">
              <w:rPr>
                <w:sz w:val="20"/>
                <w:szCs w:val="20"/>
              </w:rPr>
              <w:t xml:space="preserve">TA to the Energy Regulators </w:t>
            </w:r>
          </w:p>
          <w:p w14:paraId="6814364C" w14:textId="77777777" w:rsidR="0048172D" w:rsidRPr="00862A34" w:rsidRDefault="0048172D" w:rsidP="00862A34">
            <w:pPr>
              <w:pStyle w:val="ListParagraph"/>
              <w:numPr>
                <w:ilvl w:val="0"/>
                <w:numId w:val="10"/>
              </w:numPr>
              <w:ind w:left="313" w:hanging="313"/>
              <w:jc w:val="both"/>
              <w:rPr>
                <w:sz w:val="20"/>
                <w:szCs w:val="20"/>
              </w:rPr>
            </w:pPr>
            <w:r w:rsidRPr="00862A34">
              <w:rPr>
                <w:sz w:val="20"/>
                <w:szCs w:val="20"/>
              </w:rPr>
              <w:t xml:space="preserve">Accreditation and adoption of national qualifications on RE and EE </w:t>
            </w:r>
          </w:p>
          <w:p w14:paraId="6A73F17A" w14:textId="77777777" w:rsidR="0048172D" w:rsidRPr="00862A34" w:rsidRDefault="0048172D" w:rsidP="00862A34">
            <w:pPr>
              <w:pStyle w:val="ListParagraph"/>
              <w:numPr>
                <w:ilvl w:val="0"/>
                <w:numId w:val="10"/>
              </w:numPr>
              <w:ind w:left="313" w:hanging="313"/>
              <w:jc w:val="both"/>
              <w:rPr>
                <w:sz w:val="20"/>
                <w:szCs w:val="20"/>
                <w:lang w:val="en-US"/>
              </w:rPr>
            </w:pPr>
            <w:r w:rsidRPr="00862A34">
              <w:rPr>
                <w:sz w:val="20"/>
                <w:szCs w:val="20"/>
              </w:rPr>
              <w:t xml:space="preserve">1 – 2 National Energy Dialogues &amp; Investment Forums  </w:t>
            </w:r>
          </w:p>
          <w:p w14:paraId="7D03B66D" w14:textId="77777777" w:rsidR="0048172D" w:rsidRPr="00862A34" w:rsidRDefault="0048172D" w:rsidP="00862A34">
            <w:pPr>
              <w:pStyle w:val="ListParagraph"/>
              <w:numPr>
                <w:ilvl w:val="0"/>
                <w:numId w:val="10"/>
              </w:numPr>
              <w:ind w:left="313" w:hanging="313"/>
              <w:jc w:val="both"/>
              <w:rPr>
                <w:sz w:val="20"/>
                <w:szCs w:val="20"/>
              </w:rPr>
            </w:pPr>
            <w:r w:rsidRPr="00862A34">
              <w:rPr>
                <w:sz w:val="20"/>
                <w:szCs w:val="20"/>
              </w:rPr>
              <w:t xml:space="preserve">Support to the formation of SE industry associations  </w:t>
            </w:r>
          </w:p>
          <w:p w14:paraId="358AD224" w14:textId="127A5D06" w:rsidR="0048172D" w:rsidRPr="00862A34" w:rsidRDefault="0048172D" w:rsidP="00862A34">
            <w:pPr>
              <w:pStyle w:val="ListParagraph"/>
              <w:numPr>
                <w:ilvl w:val="0"/>
                <w:numId w:val="10"/>
              </w:numPr>
              <w:ind w:left="313" w:hanging="313"/>
              <w:jc w:val="both"/>
              <w:rPr>
                <w:sz w:val="20"/>
                <w:szCs w:val="20"/>
              </w:rPr>
            </w:pPr>
            <w:r w:rsidRPr="00862A34">
              <w:rPr>
                <w:sz w:val="20"/>
                <w:szCs w:val="20"/>
              </w:rPr>
              <w:t xml:space="preserve">Design and seek funding for E-mobility, clean cooking &amp; solar heating and cooling </w:t>
            </w:r>
          </w:p>
        </w:tc>
        <w:tc>
          <w:tcPr>
            <w:tcW w:w="4059" w:type="dxa"/>
            <w:tcBorders>
              <w:top w:val="single" w:sz="4" w:space="0" w:color="FFFFFF" w:themeColor="background1"/>
            </w:tcBorders>
          </w:tcPr>
          <w:p w14:paraId="2B6A632A" w14:textId="77777777" w:rsidR="0048172D" w:rsidRPr="00862A34" w:rsidRDefault="0048172D" w:rsidP="00862A34">
            <w:pPr>
              <w:pStyle w:val="NoSpacing"/>
              <w:numPr>
                <w:ilvl w:val="0"/>
                <w:numId w:val="10"/>
              </w:numPr>
              <w:tabs>
                <w:tab w:val="left" w:pos="309"/>
              </w:tabs>
              <w:ind w:left="309" w:hanging="283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sz w:val="20"/>
                <w:szCs w:val="20"/>
                <w:lang w:val="en-US"/>
              </w:rPr>
              <w:t xml:space="preserve">Just about to complete TA to review TEC’s EEC  </w:t>
            </w:r>
          </w:p>
          <w:p w14:paraId="2B6AF97B" w14:textId="77777777" w:rsidR="0048172D" w:rsidRPr="00862A34" w:rsidRDefault="0048172D" w:rsidP="00862A34">
            <w:pPr>
              <w:pStyle w:val="NoSpacing"/>
              <w:numPr>
                <w:ilvl w:val="0"/>
                <w:numId w:val="10"/>
              </w:numPr>
              <w:tabs>
                <w:tab w:val="left" w:pos="309"/>
              </w:tabs>
              <w:ind w:left="309" w:hanging="283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sz w:val="20"/>
                <w:szCs w:val="20"/>
                <w:lang w:val="en-US"/>
              </w:rPr>
              <w:t xml:space="preserve">Level 1 &amp; 2 are just about to be registered by the TNQAB </w:t>
            </w:r>
          </w:p>
          <w:p w14:paraId="41F1B881" w14:textId="77777777" w:rsidR="0048172D" w:rsidRPr="00862A34" w:rsidRDefault="0048172D" w:rsidP="00862A34">
            <w:pPr>
              <w:pStyle w:val="NoSpacing"/>
              <w:numPr>
                <w:ilvl w:val="0"/>
                <w:numId w:val="10"/>
              </w:numPr>
              <w:tabs>
                <w:tab w:val="left" w:pos="309"/>
              </w:tabs>
              <w:ind w:left="309" w:hanging="283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sz w:val="20"/>
                <w:szCs w:val="20"/>
                <w:lang w:val="en-US"/>
              </w:rPr>
              <w:t xml:space="preserve">No national energy dialogues. </w:t>
            </w:r>
          </w:p>
          <w:p w14:paraId="713FF804" w14:textId="77777777" w:rsidR="0048172D" w:rsidRPr="00862A34" w:rsidRDefault="0048172D" w:rsidP="00862A34">
            <w:pPr>
              <w:pStyle w:val="NoSpacing"/>
              <w:numPr>
                <w:ilvl w:val="0"/>
                <w:numId w:val="10"/>
              </w:numPr>
              <w:tabs>
                <w:tab w:val="left" w:pos="309"/>
              </w:tabs>
              <w:ind w:left="309" w:hanging="283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sz w:val="20"/>
                <w:szCs w:val="20"/>
                <w:lang w:val="en-US"/>
              </w:rPr>
              <w:t>Conducted a series of 3 webinars on accelerating investments in RE, EE &amp; smart mobility in the PICs.</w:t>
            </w:r>
          </w:p>
          <w:p w14:paraId="3E1A9269" w14:textId="77777777" w:rsidR="0048172D" w:rsidRPr="00862A34" w:rsidRDefault="0048172D" w:rsidP="00862A34">
            <w:pPr>
              <w:pStyle w:val="NoSpacing"/>
              <w:numPr>
                <w:ilvl w:val="0"/>
                <w:numId w:val="10"/>
              </w:numPr>
              <w:tabs>
                <w:tab w:val="left" w:pos="309"/>
              </w:tabs>
              <w:ind w:left="309" w:hanging="283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sz w:val="20"/>
                <w:szCs w:val="20"/>
                <w:lang w:val="en-US"/>
              </w:rPr>
              <w:t xml:space="preserve">Completed two roundtables on energy access and private financing in Fiji </w:t>
            </w:r>
          </w:p>
          <w:p w14:paraId="1C6FA1C9" w14:textId="77777777" w:rsidR="0048172D" w:rsidRPr="00862A34" w:rsidRDefault="0048172D" w:rsidP="00862A34">
            <w:pPr>
              <w:pStyle w:val="NoSpacing"/>
              <w:numPr>
                <w:ilvl w:val="0"/>
                <w:numId w:val="10"/>
              </w:numPr>
              <w:tabs>
                <w:tab w:val="left" w:pos="309"/>
              </w:tabs>
              <w:ind w:left="309" w:hanging="283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sz w:val="20"/>
                <w:szCs w:val="20"/>
                <w:lang w:val="en-US"/>
              </w:rPr>
              <w:t xml:space="preserve">Established the SU association of Vanuatu in March </w:t>
            </w:r>
          </w:p>
          <w:p w14:paraId="29AC81BA" w14:textId="019E551E" w:rsidR="0048172D" w:rsidRPr="00862A34" w:rsidRDefault="0048172D" w:rsidP="00862A34">
            <w:pPr>
              <w:pStyle w:val="NoSpacing"/>
              <w:numPr>
                <w:ilvl w:val="0"/>
                <w:numId w:val="10"/>
              </w:numPr>
              <w:tabs>
                <w:tab w:val="left" w:pos="309"/>
              </w:tabs>
              <w:ind w:left="309" w:hanging="283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sz w:val="20"/>
                <w:szCs w:val="20"/>
                <w:lang w:val="en-US"/>
              </w:rPr>
              <w:t>Completed developing the response plan for a low carbon transport proposal in Vanuatu</w:t>
            </w:r>
          </w:p>
        </w:tc>
      </w:tr>
    </w:tbl>
    <w:p w14:paraId="5F65F44E" w14:textId="0DB37355" w:rsidR="00BE45D3" w:rsidRPr="00862A34" w:rsidRDefault="00BE45D3" w:rsidP="00862A34">
      <w:pPr>
        <w:pStyle w:val="NoSpacing"/>
        <w:tabs>
          <w:tab w:val="left" w:pos="567"/>
        </w:tabs>
        <w:jc w:val="both"/>
        <w:rPr>
          <w:rFonts w:cs="Times New Roman"/>
          <w:sz w:val="20"/>
          <w:szCs w:val="20"/>
          <w:lang w:val="en-US"/>
        </w:rPr>
      </w:pPr>
    </w:p>
    <w:p w14:paraId="1AF7A21E" w14:textId="3AA072C4" w:rsidR="0098721C" w:rsidRPr="00862A34" w:rsidRDefault="0048172D" w:rsidP="00862A34">
      <w:pPr>
        <w:pStyle w:val="NoSpacing"/>
        <w:tabs>
          <w:tab w:val="left" w:pos="567"/>
        </w:tabs>
        <w:ind w:left="567" w:hanging="283"/>
        <w:jc w:val="both"/>
        <w:rPr>
          <w:rFonts w:cs="Times New Roman"/>
          <w:sz w:val="20"/>
          <w:szCs w:val="20"/>
          <w:lang w:val="en-US"/>
        </w:rPr>
      </w:pPr>
      <w:r w:rsidRPr="00862A34">
        <w:rPr>
          <w:rFonts w:cs="Times New Roman"/>
          <w:sz w:val="20"/>
          <w:szCs w:val="20"/>
          <w:lang w:val="en-US"/>
        </w:rPr>
        <w:t xml:space="preserve">iii) </w:t>
      </w:r>
      <w:r w:rsidR="0098721C" w:rsidRPr="00862A34">
        <w:rPr>
          <w:rFonts w:cs="Times New Roman"/>
          <w:sz w:val="20"/>
          <w:szCs w:val="20"/>
          <w:lang w:val="en-US"/>
        </w:rPr>
        <w:t xml:space="preserve"> </w:t>
      </w:r>
      <w:r w:rsidR="00AF2211" w:rsidRPr="00862A34">
        <w:rPr>
          <w:rFonts w:cs="Times New Roman"/>
          <w:sz w:val="20"/>
          <w:szCs w:val="20"/>
          <w:lang w:val="en-US"/>
        </w:rPr>
        <w:t>PCREEE’s Institutional Structure</w:t>
      </w:r>
      <w:r w:rsidR="0098721C" w:rsidRPr="00862A34">
        <w:rPr>
          <w:rFonts w:cs="Times New Roman"/>
          <w:sz w:val="20"/>
          <w:szCs w:val="20"/>
          <w:lang w:val="en-US"/>
        </w:rPr>
        <w:t>;</w:t>
      </w:r>
    </w:p>
    <w:p w14:paraId="50B55E5C" w14:textId="50E1E783" w:rsidR="00E21FAC" w:rsidRPr="00862A34" w:rsidRDefault="00E21FAC" w:rsidP="00862A34">
      <w:pPr>
        <w:pStyle w:val="NoSpacing"/>
        <w:tabs>
          <w:tab w:val="left" w:pos="567"/>
        </w:tabs>
        <w:jc w:val="both"/>
        <w:rPr>
          <w:rFonts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646"/>
      </w:tblGrid>
      <w:tr w:rsidR="00E21FAC" w:rsidRPr="00862A34" w14:paraId="54001430" w14:textId="77777777" w:rsidTr="00AB7DF1">
        <w:trPr>
          <w:tblHeader/>
        </w:trPr>
        <w:tc>
          <w:tcPr>
            <w:tcW w:w="6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14:paraId="09E151DD" w14:textId="66433315" w:rsidR="00E21FAC" w:rsidRPr="00862A34" w:rsidRDefault="0048172D" w:rsidP="00862A34">
            <w:pPr>
              <w:ind w:left="460"/>
              <w:jc w:val="both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862A34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Meeting Outcome</w:t>
            </w:r>
            <w:r w:rsidR="00E21FAC" w:rsidRPr="00862A34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14:paraId="240E4F2C" w14:textId="77777777" w:rsidR="00E21FAC" w:rsidRPr="00862A34" w:rsidRDefault="00E21FAC" w:rsidP="00862A34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b/>
                <w:color w:val="FFFFFF" w:themeColor="background1"/>
                <w:sz w:val="20"/>
                <w:szCs w:val="20"/>
                <w:lang w:val="en-US"/>
              </w:rPr>
              <w:t xml:space="preserve">Progress </w:t>
            </w:r>
          </w:p>
        </w:tc>
      </w:tr>
      <w:tr w:rsidR="00E21FAC" w:rsidRPr="00862A34" w14:paraId="78AE3EB4" w14:textId="77777777" w:rsidTr="0048172D">
        <w:tc>
          <w:tcPr>
            <w:tcW w:w="6091" w:type="dxa"/>
            <w:tcBorders>
              <w:top w:val="single" w:sz="4" w:space="0" w:color="FFFFFF" w:themeColor="background1"/>
            </w:tcBorders>
          </w:tcPr>
          <w:p w14:paraId="66D0692D" w14:textId="77777777" w:rsidR="00E21FAC" w:rsidRPr="00862A34" w:rsidRDefault="00E21FAC" w:rsidP="00862A34">
            <w:pPr>
              <w:pStyle w:val="ListParagraph"/>
              <w:numPr>
                <w:ilvl w:val="0"/>
                <w:numId w:val="9"/>
              </w:numPr>
              <w:ind w:left="313" w:hanging="284"/>
              <w:contextualSpacing/>
              <w:jc w:val="both"/>
              <w:rPr>
                <w:sz w:val="20"/>
                <w:szCs w:val="20"/>
              </w:rPr>
            </w:pPr>
            <w:r w:rsidRPr="00862A34">
              <w:rPr>
                <w:sz w:val="20"/>
                <w:szCs w:val="20"/>
              </w:rPr>
              <w:t>Noted that SC 5 in 2020 will select new members of the SC</w:t>
            </w:r>
          </w:p>
          <w:p w14:paraId="645FCC2C" w14:textId="77777777" w:rsidR="00E21FAC" w:rsidRPr="00862A34" w:rsidRDefault="00E21FAC" w:rsidP="00862A34">
            <w:pPr>
              <w:pStyle w:val="ListParagraph"/>
              <w:numPr>
                <w:ilvl w:val="0"/>
                <w:numId w:val="9"/>
              </w:numPr>
              <w:ind w:left="313" w:hanging="284"/>
              <w:contextualSpacing/>
              <w:jc w:val="both"/>
              <w:rPr>
                <w:sz w:val="20"/>
                <w:szCs w:val="20"/>
              </w:rPr>
            </w:pPr>
            <w:r w:rsidRPr="00862A34">
              <w:rPr>
                <w:sz w:val="20"/>
                <w:szCs w:val="20"/>
              </w:rPr>
              <w:t xml:space="preserve">Endorsed the amendments and updates to the PCREEE’s NFIs and THs contacts. </w:t>
            </w:r>
          </w:p>
          <w:p w14:paraId="4A28923E" w14:textId="77777777" w:rsidR="00E21FAC" w:rsidRPr="00862A34" w:rsidRDefault="00E21FAC" w:rsidP="00862A34">
            <w:pPr>
              <w:pStyle w:val="ListParagraph"/>
              <w:numPr>
                <w:ilvl w:val="0"/>
                <w:numId w:val="9"/>
              </w:numPr>
              <w:ind w:left="313" w:hanging="284"/>
              <w:contextualSpacing/>
              <w:jc w:val="both"/>
              <w:rPr>
                <w:sz w:val="20"/>
                <w:szCs w:val="20"/>
              </w:rPr>
            </w:pPr>
            <w:r w:rsidRPr="00862A34">
              <w:rPr>
                <w:sz w:val="20"/>
                <w:szCs w:val="20"/>
              </w:rPr>
              <w:t xml:space="preserve">Encouraged PCREEE to strengthen and foster new partnerships through formalizing relationships with ISA, IEA and other partners by way of signing MoUs and similar official documents. </w:t>
            </w:r>
          </w:p>
          <w:p w14:paraId="117F41B2" w14:textId="77777777" w:rsidR="00E21FAC" w:rsidRPr="00862A34" w:rsidRDefault="00E21FAC" w:rsidP="00862A34">
            <w:pPr>
              <w:pStyle w:val="ListParagraph"/>
              <w:numPr>
                <w:ilvl w:val="0"/>
                <w:numId w:val="9"/>
              </w:numPr>
              <w:ind w:left="313" w:hanging="284"/>
              <w:contextualSpacing/>
              <w:jc w:val="both"/>
              <w:rPr>
                <w:sz w:val="20"/>
                <w:szCs w:val="20"/>
              </w:rPr>
            </w:pPr>
            <w:r w:rsidRPr="00862A34">
              <w:rPr>
                <w:sz w:val="20"/>
                <w:szCs w:val="20"/>
              </w:rPr>
              <w:t>Acknowledged SPC’s current effort to modernise its Staff Regulations and Policies in order to achieve its Strategic Plan's organisational objective to enhance the capabilities of its  people systems and processes. </w:t>
            </w:r>
          </w:p>
          <w:p w14:paraId="5A081617" w14:textId="77777777" w:rsidR="00E21FAC" w:rsidRPr="00862A34" w:rsidRDefault="00E21FAC" w:rsidP="00862A34">
            <w:pPr>
              <w:pStyle w:val="ListParagraph"/>
              <w:numPr>
                <w:ilvl w:val="0"/>
                <w:numId w:val="9"/>
              </w:numPr>
              <w:ind w:left="313" w:hanging="284"/>
              <w:contextualSpacing/>
              <w:rPr>
                <w:sz w:val="20"/>
                <w:szCs w:val="20"/>
              </w:rPr>
            </w:pPr>
            <w:r w:rsidRPr="00862A34">
              <w:rPr>
                <w:sz w:val="20"/>
                <w:szCs w:val="20"/>
              </w:rPr>
              <w:t xml:space="preserve">Noted the staffing structure and the recruitment of  the next PIJP has been advertised on the PCREEE/SPC website and encouraged member countries to apply. </w:t>
            </w:r>
          </w:p>
          <w:p w14:paraId="034454B0" w14:textId="37B82806" w:rsidR="00E21FAC" w:rsidRPr="00862A34" w:rsidRDefault="00E21FAC" w:rsidP="00862A34">
            <w:pPr>
              <w:pStyle w:val="ListParagraph"/>
              <w:numPr>
                <w:ilvl w:val="0"/>
                <w:numId w:val="9"/>
              </w:numPr>
              <w:ind w:left="313" w:hanging="284"/>
              <w:contextualSpacing/>
              <w:jc w:val="both"/>
              <w:rPr>
                <w:sz w:val="20"/>
                <w:szCs w:val="20"/>
              </w:rPr>
            </w:pPr>
            <w:r w:rsidRPr="00862A34">
              <w:rPr>
                <w:sz w:val="20"/>
                <w:szCs w:val="20"/>
              </w:rPr>
              <w:t>Noted the 4</w:t>
            </w:r>
            <w:r w:rsidRPr="00862A34">
              <w:rPr>
                <w:sz w:val="20"/>
                <w:szCs w:val="20"/>
                <w:vertAlign w:val="superscript"/>
              </w:rPr>
              <w:t>th</w:t>
            </w:r>
            <w:r w:rsidR="00862A34">
              <w:rPr>
                <w:sz w:val="20"/>
                <w:szCs w:val="20"/>
              </w:rPr>
              <w:t xml:space="preserve"> </w:t>
            </w:r>
            <w:r w:rsidRPr="00862A34">
              <w:rPr>
                <w:sz w:val="20"/>
                <w:szCs w:val="20"/>
              </w:rPr>
              <w:t xml:space="preserve">Pacific Energy and Transport Ministers Meeting decision on PCREEE’s fund raising effort. </w:t>
            </w:r>
          </w:p>
          <w:p w14:paraId="22136109" w14:textId="3751493A" w:rsidR="00E21FAC" w:rsidRPr="00862A34" w:rsidRDefault="00E21FAC" w:rsidP="00862A34">
            <w:pPr>
              <w:pStyle w:val="ListParagraph"/>
              <w:numPr>
                <w:ilvl w:val="0"/>
                <w:numId w:val="9"/>
              </w:numPr>
              <w:ind w:left="313" w:hanging="284"/>
              <w:contextualSpacing/>
              <w:jc w:val="both"/>
              <w:rPr>
                <w:sz w:val="20"/>
                <w:szCs w:val="20"/>
              </w:rPr>
            </w:pPr>
            <w:r w:rsidRPr="00862A34">
              <w:rPr>
                <w:sz w:val="20"/>
                <w:szCs w:val="20"/>
              </w:rPr>
              <w:t>Noted PCREEE’s hosting of interns and encouraged member countries and partners to use the Centre as a base for training, research, internships and etc.</w:t>
            </w:r>
          </w:p>
        </w:tc>
        <w:tc>
          <w:tcPr>
            <w:tcW w:w="2646" w:type="dxa"/>
            <w:tcBorders>
              <w:top w:val="single" w:sz="4" w:space="0" w:color="FFFFFF" w:themeColor="background1"/>
            </w:tcBorders>
          </w:tcPr>
          <w:p w14:paraId="0DE955DC" w14:textId="77777777" w:rsidR="00E21FAC" w:rsidRPr="00862A34" w:rsidRDefault="00E21FAC" w:rsidP="00862A34">
            <w:pPr>
              <w:pStyle w:val="NoSpacing"/>
              <w:numPr>
                <w:ilvl w:val="0"/>
                <w:numId w:val="9"/>
              </w:numPr>
              <w:tabs>
                <w:tab w:val="left" w:pos="309"/>
              </w:tabs>
              <w:ind w:left="309" w:hanging="30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sz w:val="20"/>
                <w:szCs w:val="20"/>
                <w:lang w:val="en-US"/>
              </w:rPr>
              <w:t>To be done during PSC 5</w:t>
            </w:r>
          </w:p>
          <w:p w14:paraId="2B379CCE" w14:textId="77777777" w:rsidR="00E21FAC" w:rsidRPr="00862A34" w:rsidRDefault="00E21FAC" w:rsidP="00862A34">
            <w:pPr>
              <w:pStyle w:val="NoSpacing"/>
              <w:numPr>
                <w:ilvl w:val="0"/>
                <w:numId w:val="9"/>
              </w:numPr>
              <w:tabs>
                <w:tab w:val="left" w:pos="309"/>
              </w:tabs>
              <w:ind w:left="309" w:hanging="30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sz w:val="20"/>
                <w:szCs w:val="20"/>
                <w:lang w:val="en-US"/>
              </w:rPr>
              <w:t>Updated and will be continuously updated</w:t>
            </w:r>
          </w:p>
          <w:p w14:paraId="591DA406" w14:textId="77777777" w:rsidR="0048172D" w:rsidRPr="00862A34" w:rsidRDefault="0048172D" w:rsidP="00862A34">
            <w:pPr>
              <w:pStyle w:val="NoSpacing"/>
              <w:numPr>
                <w:ilvl w:val="0"/>
                <w:numId w:val="9"/>
              </w:numPr>
              <w:tabs>
                <w:tab w:val="left" w:pos="309"/>
              </w:tabs>
              <w:ind w:left="309" w:hanging="30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sz w:val="20"/>
                <w:szCs w:val="20"/>
                <w:lang w:val="en-US"/>
              </w:rPr>
              <w:t>Signed MoU with EcoCARE Pacific Trust. Discussed joint workshops with ISA.</w:t>
            </w:r>
          </w:p>
          <w:p w14:paraId="77DB8E50" w14:textId="6FCB9EE8" w:rsidR="0048172D" w:rsidRPr="00862A34" w:rsidRDefault="0048172D" w:rsidP="00862A34">
            <w:pPr>
              <w:pStyle w:val="NoSpacing"/>
              <w:numPr>
                <w:ilvl w:val="0"/>
                <w:numId w:val="9"/>
              </w:numPr>
              <w:tabs>
                <w:tab w:val="left" w:pos="309"/>
              </w:tabs>
              <w:ind w:left="309" w:hanging="30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sz w:val="20"/>
                <w:szCs w:val="20"/>
                <w:lang w:val="en-US"/>
              </w:rPr>
              <w:t>SPC staff can now appeal to the ILO Administrative Tribunal</w:t>
            </w:r>
          </w:p>
          <w:p w14:paraId="7C403EB0" w14:textId="77777777" w:rsidR="0048172D" w:rsidRPr="00862A34" w:rsidRDefault="0048172D" w:rsidP="00862A34">
            <w:pPr>
              <w:pStyle w:val="NoSpacing"/>
              <w:numPr>
                <w:ilvl w:val="0"/>
                <w:numId w:val="9"/>
              </w:numPr>
              <w:tabs>
                <w:tab w:val="left" w:pos="309"/>
              </w:tabs>
              <w:ind w:left="309" w:hanging="30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sz w:val="20"/>
                <w:szCs w:val="20"/>
                <w:lang w:val="en-US"/>
              </w:rPr>
              <w:t>PIJP from PNG has been with PCREEE since March 2020</w:t>
            </w:r>
          </w:p>
          <w:p w14:paraId="7F275EFB" w14:textId="77777777" w:rsidR="0048172D" w:rsidRPr="00862A34" w:rsidRDefault="0048172D" w:rsidP="00862A34">
            <w:pPr>
              <w:pStyle w:val="NoSpacing"/>
              <w:numPr>
                <w:ilvl w:val="0"/>
                <w:numId w:val="9"/>
              </w:numPr>
              <w:tabs>
                <w:tab w:val="left" w:pos="309"/>
              </w:tabs>
              <w:ind w:left="309" w:hanging="30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sz w:val="20"/>
                <w:szCs w:val="20"/>
                <w:lang w:val="en-US"/>
              </w:rPr>
              <w:t xml:space="preserve">Fund raising is continuing with consultancies work for PacTVET, MFAT, CTCN, etc  </w:t>
            </w:r>
          </w:p>
          <w:p w14:paraId="5C7E69D0" w14:textId="73F26FA2" w:rsidR="0048172D" w:rsidRPr="00862A34" w:rsidRDefault="0048172D" w:rsidP="00862A34">
            <w:pPr>
              <w:pStyle w:val="NoSpacing"/>
              <w:numPr>
                <w:ilvl w:val="0"/>
                <w:numId w:val="9"/>
              </w:numPr>
              <w:tabs>
                <w:tab w:val="left" w:pos="309"/>
              </w:tabs>
              <w:ind w:left="309" w:hanging="30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sz w:val="20"/>
                <w:szCs w:val="20"/>
                <w:lang w:val="en-US"/>
              </w:rPr>
              <w:t>No Interns this year due to COVID.</w:t>
            </w:r>
          </w:p>
        </w:tc>
      </w:tr>
    </w:tbl>
    <w:p w14:paraId="3D764A42" w14:textId="7F3DEEBD" w:rsidR="00E21FAC" w:rsidRPr="00862A34" w:rsidRDefault="00E21FAC" w:rsidP="00862A34">
      <w:pPr>
        <w:pStyle w:val="NoSpacing"/>
        <w:tabs>
          <w:tab w:val="left" w:pos="567"/>
        </w:tabs>
        <w:jc w:val="both"/>
        <w:rPr>
          <w:rFonts w:cs="Times New Roman"/>
          <w:sz w:val="20"/>
          <w:szCs w:val="20"/>
          <w:lang w:val="en-US"/>
        </w:rPr>
      </w:pPr>
    </w:p>
    <w:p w14:paraId="4D0EAA78" w14:textId="59527F5F" w:rsidR="0098721C" w:rsidRPr="00862A34" w:rsidRDefault="0048172D" w:rsidP="00862A34">
      <w:pPr>
        <w:pStyle w:val="NoSpacing"/>
        <w:tabs>
          <w:tab w:val="left" w:pos="567"/>
        </w:tabs>
        <w:ind w:left="567" w:hanging="283"/>
        <w:jc w:val="both"/>
        <w:rPr>
          <w:rFonts w:cs="Times New Roman"/>
          <w:sz w:val="20"/>
          <w:szCs w:val="20"/>
          <w:lang w:val="en-US"/>
        </w:rPr>
      </w:pPr>
      <w:r w:rsidRPr="00862A34">
        <w:rPr>
          <w:rFonts w:cs="Times New Roman"/>
          <w:sz w:val="20"/>
          <w:szCs w:val="20"/>
          <w:lang w:val="en-US"/>
        </w:rPr>
        <w:t>iv)</w:t>
      </w:r>
      <w:r w:rsidRPr="00862A34">
        <w:rPr>
          <w:rFonts w:cs="Times New Roman"/>
          <w:sz w:val="20"/>
          <w:szCs w:val="20"/>
          <w:lang w:val="en-US"/>
        </w:rPr>
        <w:tab/>
      </w:r>
      <w:r w:rsidR="00AB7DF1">
        <w:rPr>
          <w:rFonts w:cs="Times New Roman"/>
          <w:sz w:val="20"/>
          <w:szCs w:val="20"/>
          <w:lang w:val="en-US"/>
        </w:rPr>
        <w:t xml:space="preserve"> </w:t>
      </w:r>
      <w:r w:rsidRPr="00862A34">
        <w:rPr>
          <w:rFonts w:cs="Times New Roman"/>
          <w:sz w:val="20"/>
          <w:szCs w:val="20"/>
          <w:lang w:val="en-US"/>
        </w:rPr>
        <w:t>Technical Structure</w:t>
      </w:r>
    </w:p>
    <w:p w14:paraId="16558CAD" w14:textId="08FAA333" w:rsidR="0048172D" w:rsidRPr="00862A34" w:rsidRDefault="0048172D" w:rsidP="00862A34">
      <w:pPr>
        <w:pStyle w:val="NoSpacing"/>
        <w:tabs>
          <w:tab w:val="left" w:pos="567"/>
        </w:tabs>
        <w:jc w:val="both"/>
        <w:rPr>
          <w:rFonts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646"/>
      </w:tblGrid>
      <w:tr w:rsidR="0048172D" w:rsidRPr="00862A34" w14:paraId="684E7F5C" w14:textId="77777777" w:rsidTr="00862A34">
        <w:trPr>
          <w:tblHeader/>
        </w:trPr>
        <w:tc>
          <w:tcPr>
            <w:tcW w:w="6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14:paraId="1636A509" w14:textId="77777777" w:rsidR="0048172D" w:rsidRPr="00862A34" w:rsidRDefault="0048172D" w:rsidP="00862A34">
            <w:pPr>
              <w:ind w:left="460"/>
              <w:jc w:val="both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862A34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 xml:space="preserve">Meeting Outcome </w:t>
            </w:r>
          </w:p>
        </w:tc>
        <w:tc>
          <w:tcPr>
            <w:tcW w:w="264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14:paraId="4965FAAC" w14:textId="77777777" w:rsidR="0048172D" w:rsidRPr="00862A34" w:rsidRDefault="0048172D" w:rsidP="00862A34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b/>
                <w:color w:val="FFFFFF" w:themeColor="background1"/>
                <w:sz w:val="20"/>
                <w:szCs w:val="20"/>
                <w:lang w:val="en-US"/>
              </w:rPr>
              <w:t xml:space="preserve">Progress </w:t>
            </w:r>
          </w:p>
        </w:tc>
      </w:tr>
      <w:tr w:rsidR="0048172D" w:rsidRPr="00862A34" w14:paraId="5F18FC4F" w14:textId="77777777" w:rsidTr="00936D9B">
        <w:tc>
          <w:tcPr>
            <w:tcW w:w="6091" w:type="dxa"/>
            <w:tcBorders>
              <w:top w:val="single" w:sz="4" w:space="0" w:color="FFFFFF" w:themeColor="background1"/>
            </w:tcBorders>
          </w:tcPr>
          <w:p w14:paraId="285CAD8A" w14:textId="77777777" w:rsidR="0048172D" w:rsidRPr="00862A34" w:rsidRDefault="0048172D" w:rsidP="00862A34">
            <w:pPr>
              <w:pStyle w:val="ListParagraph"/>
              <w:numPr>
                <w:ilvl w:val="0"/>
                <w:numId w:val="11"/>
              </w:numPr>
              <w:ind w:left="313" w:hanging="284"/>
              <w:contextualSpacing/>
              <w:jc w:val="both"/>
              <w:rPr>
                <w:sz w:val="20"/>
                <w:szCs w:val="20"/>
              </w:rPr>
            </w:pPr>
            <w:r w:rsidRPr="00862A34">
              <w:rPr>
                <w:sz w:val="20"/>
                <w:szCs w:val="20"/>
              </w:rPr>
              <w:t>Noted the progress of the seven pipeline projects being developed and supported by the PCREEE</w:t>
            </w:r>
          </w:p>
          <w:p w14:paraId="067A4D92" w14:textId="77777777" w:rsidR="0048172D" w:rsidRPr="00862A34" w:rsidRDefault="0048172D" w:rsidP="00862A34">
            <w:pPr>
              <w:pStyle w:val="ListParagraph"/>
              <w:numPr>
                <w:ilvl w:val="0"/>
                <w:numId w:val="11"/>
              </w:numPr>
              <w:ind w:left="313" w:hanging="284"/>
              <w:contextualSpacing/>
              <w:jc w:val="both"/>
              <w:rPr>
                <w:sz w:val="20"/>
                <w:szCs w:val="20"/>
              </w:rPr>
            </w:pPr>
            <w:r w:rsidRPr="00862A34">
              <w:rPr>
                <w:sz w:val="20"/>
                <w:szCs w:val="20"/>
              </w:rPr>
              <w:t xml:space="preserve">Noted the progress on the national energy dialogues and entrepreneurship workshops </w:t>
            </w:r>
          </w:p>
          <w:p w14:paraId="1CFE83A0" w14:textId="1C5052E9" w:rsidR="0048172D" w:rsidRPr="00862A34" w:rsidRDefault="0048172D" w:rsidP="00862A34">
            <w:pPr>
              <w:pStyle w:val="ListParagraph"/>
              <w:numPr>
                <w:ilvl w:val="0"/>
                <w:numId w:val="11"/>
              </w:numPr>
              <w:ind w:left="313" w:hanging="284"/>
              <w:contextualSpacing/>
              <w:jc w:val="both"/>
              <w:rPr>
                <w:sz w:val="20"/>
                <w:szCs w:val="20"/>
              </w:rPr>
            </w:pPr>
            <w:r w:rsidRPr="00862A34">
              <w:rPr>
                <w:sz w:val="20"/>
                <w:szCs w:val="20"/>
              </w:rPr>
              <w:t>Endorsed the conduct of an Energy Investment Forum in the Solomon Islands and the conduct of national energy dialogues in American Samoa and  in a country in the North Pacific either Palau, Marshall Islands or FSM in 2020</w:t>
            </w:r>
          </w:p>
          <w:p w14:paraId="6B0C63B2" w14:textId="77777777" w:rsidR="0048172D" w:rsidRPr="00862A34" w:rsidRDefault="0048172D" w:rsidP="00862A34">
            <w:pPr>
              <w:pStyle w:val="ListParagraph"/>
              <w:numPr>
                <w:ilvl w:val="0"/>
                <w:numId w:val="11"/>
              </w:numPr>
              <w:ind w:left="313" w:hanging="284"/>
              <w:contextualSpacing/>
              <w:jc w:val="both"/>
              <w:rPr>
                <w:sz w:val="20"/>
                <w:szCs w:val="20"/>
              </w:rPr>
            </w:pPr>
            <w:r w:rsidRPr="00862A34">
              <w:rPr>
                <w:sz w:val="20"/>
                <w:szCs w:val="20"/>
              </w:rPr>
              <w:t>Noted the Progress with the establishment of the Sustainable Energy Industry Associations in the Pacific and noted the effort to establish one in the Solomon Is and Vanuatu</w:t>
            </w:r>
          </w:p>
          <w:p w14:paraId="16CEB3D6" w14:textId="6EA78CCD" w:rsidR="0048172D" w:rsidRPr="00862A34" w:rsidRDefault="00862A34" w:rsidP="00862A34">
            <w:pPr>
              <w:pStyle w:val="ListParagraph"/>
              <w:ind w:left="313" w:hanging="284"/>
              <w:jc w:val="both"/>
              <w:rPr>
                <w:sz w:val="20"/>
                <w:szCs w:val="20"/>
              </w:rPr>
            </w:pPr>
            <w:r w:rsidRPr="00862A34">
              <w:rPr>
                <w:sz w:val="20"/>
                <w:szCs w:val="20"/>
              </w:rPr>
              <w:t xml:space="preserve">v. </w:t>
            </w:r>
            <w:r w:rsidR="0048172D" w:rsidRPr="00862A34">
              <w:rPr>
                <w:sz w:val="20"/>
                <w:szCs w:val="20"/>
              </w:rPr>
              <w:t>Noted the PCREEE three funding initiatives to promote awareness and private sector participation in Sustainable Energy and urged NFIs</w:t>
            </w:r>
            <w:r w:rsidR="0048172D" w:rsidRPr="00862A34">
              <w:rPr>
                <w:b/>
                <w:bCs/>
                <w:sz w:val="20"/>
                <w:szCs w:val="20"/>
              </w:rPr>
              <w:t xml:space="preserve"> </w:t>
            </w:r>
            <w:r w:rsidR="0048172D" w:rsidRPr="00862A34">
              <w:rPr>
                <w:sz w:val="20"/>
                <w:szCs w:val="20"/>
              </w:rPr>
              <w:t>&amp; THs to disseminate and promote the three initiatives in Member Countries in the PICTs.</w:t>
            </w:r>
          </w:p>
        </w:tc>
        <w:tc>
          <w:tcPr>
            <w:tcW w:w="2646" w:type="dxa"/>
            <w:tcBorders>
              <w:top w:val="single" w:sz="4" w:space="0" w:color="FFFFFF" w:themeColor="background1"/>
            </w:tcBorders>
          </w:tcPr>
          <w:p w14:paraId="14347B19" w14:textId="77777777" w:rsidR="0048172D" w:rsidRPr="00862A34" w:rsidRDefault="00862A34" w:rsidP="00862A34">
            <w:pPr>
              <w:pStyle w:val="NoSpacing"/>
              <w:numPr>
                <w:ilvl w:val="0"/>
                <w:numId w:val="9"/>
              </w:numPr>
              <w:tabs>
                <w:tab w:val="left" w:pos="309"/>
              </w:tabs>
              <w:ind w:left="309" w:hanging="30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sz w:val="20"/>
                <w:szCs w:val="20"/>
                <w:lang w:val="en-US"/>
              </w:rPr>
              <w:t>Noted</w:t>
            </w:r>
          </w:p>
          <w:p w14:paraId="1BAFFFEE" w14:textId="77777777" w:rsidR="00862A34" w:rsidRPr="00862A34" w:rsidRDefault="00862A34" w:rsidP="00862A34">
            <w:pPr>
              <w:pStyle w:val="NoSpacing"/>
              <w:numPr>
                <w:ilvl w:val="0"/>
                <w:numId w:val="9"/>
              </w:numPr>
              <w:tabs>
                <w:tab w:val="left" w:pos="309"/>
              </w:tabs>
              <w:ind w:left="309" w:hanging="30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sz w:val="20"/>
                <w:szCs w:val="20"/>
                <w:lang w:val="en-US"/>
              </w:rPr>
              <w:t>Planned dialogues were postponed</w:t>
            </w:r>
          </w:p>
          <w:p w14:paraId="7668C73C" w14:textId="77777777" w:rsidR="00862A34" w:rsidRPr="00862A34" w:rsidRDefault="00862A34" w:rsidP="00862A34">
            <w:pPr>
              <w:pStyle w:val="NoSpacing"/>
              <w:numPr>
                <w:ilvl w:val="0"/>
                <w:numId w:val="9"/>
              </w:numPr>
              <w:tabs>
                <w:tab w:val="left" w:pos="309"/>
              </w:tabs>
              <w:ind w:left="309" w:hanging="30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sz w:val="20"/>
                <w:szCs w:val="20"/>
                <w:lang w:val="en-US"/>
              </w:rPr>
              <w:t xml:space="preserve">Solomon Is wants investment forum postponed to 2021. A/Samoa and North Pacific events got postponed. Completed national consultation in Palau. </w:t>
            </w:r>
          </w:p>
          <w:p w14:paraId="72CF815C" w14:textId="77777777" w:rsidR="00862A34" w:rsidRPr="00862A34" w:rsidRDefault="00862A34" w:rsidP="00862A34">
            <w:pPr>
              <w:pStyle w:val="NoSpacing"/>
              <w:numPr>
                <w:ilvl w:val="0"/>
                <w:numId w:val="9"/>
              </w:numPr>
              <w:tabs>
                <w:tab w:val="left" w:pos="309"/>
              </w:tabs>
              <w:ind w:left="309" w:hanging="30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sz w:val="20"/>
                <w:szCs w:val="20"/>
                <w:lang w:val="en-US"/>
              </w:rPr>
              <w:t>Established the SE association of Vanuatu. SI postponed to 2021.</w:t>
            </w:r>
          </w:p>
          <w:p w14:paraId="5966FD87" w14:textId="0C13C8C5" w:rsidR="00862A34" w:rsidRPr="00862A34" w:rsidRDefault="00862A34" w:rsidP="00862A34">
            <w:pPr>
              <w:pStyle w:val="NoSpacing"/>
              <w:numPr>
                <w:ilvl w:val="0"/>
                <w:numId w:val="9"/>
              </w:numPr>
              <w:tabs>
                <w:tab w:val="left" w:pos="309"/>
              </w:tabs>
              <w:ind w:left="309" w:hanging="30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sz w:val="20"/>
                <w:szCs w:val="20"/>
                <w:lang w:val="en-US"/>
              </w:rPr>
              <w:t xml:space="preserve">No takers on the scholarships / research support. PSEEF interests from SI and Vanuatu but not deal signed yet.   </w:t>
            </w:r>
          </w:p>
        </w:tc>
      </w:tr>
    </w:tbl>
    <w:p w14:paraId="12539AD8" w14:textId="3938F4D7" w:rsidR="0048172D" w:rsidRDefault="0048172D" w:rsidP="0048172D">
      <w:pPr>
        <w:pStyle w:val="NoSpacing"/>
        <w:tabs>
          <w:tab w:val="left" w:pos="567"/>
        </w:tabs>
        <w:jc w:val="both"/>
        <w:rPr>
          <w:rFonts w:cs="Times New Roman"/>
          <w:sz w:val="22"/>
          <w:szCs w:val="22"/>
          <w:lang w:val="en-US"/>
        </w:rPr>
      </w:pPr>
    </w:p>
    <w:p w14:paraId="5915BAAA" w14:textId="6BA34516" w:rsidR="0048172D" w:rsidRDefault="00862A34" w:rsidP="00862A34">
      <w:pPr>
        <w:pStyle w:val="NoSpacing"/>
        <w:tabs>
          <w:tab w:val="left" w:pos="567"/>
        </w:tabs>
        <w:ind w:left="567" w:hanging="283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v).</w:t>
      </w:r>
      <w:r>
        <w:rPr>
          <w:rFonts w:cs="Times New Roman"/>
          <w:sz w:val="22"/>
          <w:szCs w:val="22"/>
          <w:lang w:val="en-US"/>
        </w:rPr>
        <w:tab/>
        <w:t xml:space="preserve">Capacity Building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646"/>
      </w:tblGrid>
      <w:tr w:rsidR="00862A34" w:rsidRPr="00862A34" w14:paraId="44AAEFE5" w14:textId="77777777" w:rsidTr="00936D9B">
        <w:tc>
          <w:tcPr>
            <w:tcW w:w="6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</w:tcPr>
          <w:p w14:paraId="67F3F3AD" w14:textId="77777777" w:rsidR="00862A34" w:rsidRPr="00862A34" w:rsidRDefault="00862A34" w:rsidP="00936D9B">
            <w:pPr>
              <w:ind w:left="460"/>
              <w:jc w:val="both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862A34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 xml:space="preserve">Meeting Outcome </w:t>
            </w:r>
          </w:p>
        </w:tc>
        <w:tc>
          <w:tcPr>
            <w:tcW w:w="264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14:paraId="14D82FB5" w14:textId="77777777" w:rsidR="00862A34" w:rsidRPr="00862A34" w:rsidRDefault="00862A34" w:rsidP="00936D9B">
            <w:pPr>
              <w:pStyle w:val="NoSpacing"/>
              <w:tabs>
                <w:tab w:val="left" w:pos="567"/>
              </w:tabs>
              <w:jc w:val="both"/>
              <w:rPr>
                <w:rFonts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b/>
                <w:color w:val="FFFFFF" w:themeColor="background1"/>
                <w:sz w:val="20"/>
                <w:szCs w:val="20"/>
                <w:lang w:val="en-US"/>
              </w:rPr>
              <w:t xml:space="preserve">Progress </w:t>
            </w:r>
          </w:p>
        </w:tc>
      </w:tr>
      <w:tr w:rsidR="00862A34" w:rsidRPr="00862A34" w14:paraId="0046D068" w14:textId="77777777" w:rsidTr="00936D9B">
        <w:tc>
          <w:tcPr>
            <w:tcW w:w="6091" w:type="dxa"/>
            <w:tcBorders>
              <w:top w:val="single" w:sz="4" w:space="0" w:color="FFFFFF" w:themeColor="background1"/>
            </w:tcBorders>
          </w:tcPr>
          <w:p w14:paraId="53EB2059" w14:textId="77777777" w:rsidR="00862A34" w:rsidRPr="00862A34" w:rsidRDefault="00862A34" w:rsidP="00862A3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13" w:hanging="284"/>
              <w:contextualSpacing/>
              <w:jc w:val="both"/>
              <w:rPr>
                <w:sz w:val="20"/>
                <w:szCs w:val="20"/>
              </w:rPr>
            </w:pPr>
            <w:r w:rsidRPr="00862A34">
              <w:rPr>
                <w:sz w:val="20"/>
                <w:szCs w:val="20"/>
              </w:rPr>
              <w:t>Noted that the final date for the EU-PacTVET project implementation is 30 August 2020.</w:t>
            </w:r>
          </w:p>
          <w:p w14:paraId="7E44DA5C" w14:textId="77777777" w:rsidR="00862A34" w:rsidRPr="00862A34" w:rsidRDefault="00862A34" w:rsidP="00862A3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13" w:hanging="284"/>
              <w:contextualSpacing/>
              <w:jc w:val="both"/>
              <w:rPr>
                <w:sz w:val="20"/>
                <w:szCs w:val="20"/>
              </w:rPr>
            </w:pPr>
            <w:r w:rsidRPr="00862A34">
              <w:rPr>
                <w:sz w:val="20"/>
                <w:szCs w:val="20"/>
              </w:rPr>
              <w:t>Noted the rather slow progress of the EU-PacTVET project in Tonga and the required urgency for project deliveries</w:t>
            </w:r>
          </w:p>
          <w:p w14:paraId="3279E812" w14:textId="77777777" w:rsidR="00862A34" w:rsidRPr="00862A34" w:rsidRDefault="00862A34" w:rsidP="00862A3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13" w:hanging="284"/>
              <w:contextualSpacing/>
              <w:jc w:val="both"/>
              <w:rPr>
                <w:sz w:val="20"/>
                <w:szCs w:val="20"/>
              </w:rPr>
            </w:pPr>
            <w:r w:rsidRPr="00862A34">
              <w:rPr>
                <w:sz w:val="20"/>
                <w:szCs w:val="20"/>
              </w:rPr>
              <w:t xml:space="preserve">Acknowledged the PCREEE’s support to  the implementation of the PacTVET project in Tonga and the possible continuation of the technical assistance after the end of the PacTVET in September 2020.  </w:t>
            </w:r>
          </w:p>
          <w:p w14:paraId="3FD4F857" w14:textId="14FD4920" w:rsidR="00862A34" w:rsidRPr="00862A34" w:rsidRDefault="00862A34" w:rsidP="00862A34">
            <w:pPr>
              <w:pStyle w:val="ListParagraph"/>
              <w:ind w:left="749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FFFFFF" w:themeColor="background1"/>
            </w:tcBorders>
          </w:tcPr>
          <w:p w14:paraId="6847E856" w14:textId="77777777" w:rsidR="00862A34" w:rsidRPr="00862A34" w:rsidRDefault="00862A34" w:rsidP="00936D9B">
            <w:pPr>
              <w:pStyle w:val="NoSpacing"/>
              <w:numPr>
                <w:ilvl w:val="0"/>
                <w:numId w:val="9"/>
              </w:numPr>
              <w:tabs>
                <w:tab w:val="left" w:pos="309"/>
              </w:tabs>
              <w:ind w:left="309" w:hanging="30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62A34">
              <w:rPr>
                <w:rFonts w:cs="Times New Roman"/>
                <w:sz w:val="20"/>
                <w:szCs w:val="20"/>
                <w:lang w:val="en-US"/>
              </w:rPr>
              <w:t>Noted</w:t>
            </w:r>
          </w:p>
          <w:p w14:paraId="29A91711" w14:textId="2803DBE8" w:rsidR="00862A34" w:rsidRPr="00862A34" w:rsidRDefault="00862A34" w:rsidP="00936D9B">
            <w:pPr>
              <w:pStyle w:val="NoSpacing"/>
              <w:numPr>
                <w:ilvl w:val="0"/>
                <w:numId w:val="9"/>
              </w:numPr>
              <w:tabs>
                <w:tab w:val="left" w:pos="309"/>
              </w:tabs>
              <w:ind w:left="309" w:hanging="30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PacTVET ICC has speed up implementation </w:t>
            </w:r>
          </w:p>
          <w:p w14:paraId="764CEDAC" w14:textId="45F88A45" w:rsidR="00862A34" w:rsidRPr="00862A34" w:rsidRDefault="00862A34" w:rsidP="00936D9B">
            <w:pPr>
              <w:pStyle w:val="NoSpacing"/>
              <w:numPr>
                <w:ilvl w:val="0"/>
                <w:numId w:val="9"/>
              </w:numPr>
              <w:tabs>
                <w:tab w:val="left" w:pos="309"/>
              </w:tabs>
              <w:ind w:left="309" w:hanging="309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Planning of continuing on assisting PICs to have NQs on SE in 2021</w:t>
            </w:r>
            <w:r w:rsidRPr="00862A34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CC24ECF" w14:textId="77777777" w:rsidR="0048172D" w:rsidRPr="0009109D" w:rsidRDefault="0048172D" w:rsidP="0048172D">
      <w:pPr>
        <w:pStyle w:val="NoSpacing"/>
        <w:tabs>
          <w:tab w:val="left" w:pos="567"/>
        </w:tabs>
        <w:jc w:val="both"/>
        <w:rPr>
          <w:rFonts w:cs="Times New Roman"/>
          <w:sz w:val="22"/>
          <w:szCs w:val="22"/>
          <w:lang w:val="en-US"/>
        </w:rPr>
      </w:pPr>
    </w:p>
    <w:p w14:paraId="777E904C" w14:textId="269F7D6E" w:rsidR="00CD7ED8" w:rsidRPr="0009109D" w:rsidRDefault="001D1E33" w:rsidP="00173AD2">
      <w:pPr>
        <w:pStyle w:val="NoSpacing"/>
        <w:numPr>
          <w:ilvl w:val="0"/>
          <w:numId w:val="2"/>
        </w:numPr>
        <w:tabs>
          <w:tab w:val="left" w:pos="567"/>
        </w:tabs>
        <w:jc w:val="both"/>
        <w:rPr>
          <w:rFonts w:cs="Times New Roman"/>
          <w:sz w:val="22"/>
          <w:szCs w:val="22"/>
          <w:lang w:val="en-US"/>
        </w:rPr>
      </w:pPr>
      <w:r w:rsidRPr="0009109D">
        <w:rPr>
          <w:rFonts w:cs="Times New Roman"/>
          <w:sz w:val="22"/>
          <w:szCs w:val="22"/>
          <w:lang w:val="en-US"/>
        </w:rPr>
        <w:t xml:space="preserve">The PSC </w:t>
      </w:r>
      <w:r w:rsidR="00CD7ED8" w:rsidRPr="0009109D">
        <w:rPr>
          <w:rFonts w:cs="Times New Roman"/>
          <w:sz w:val="22"/>
          <w:szCs w:val="22"/>
          <w:lang w:val="en-US"/>
        </w:rPr>
        <w:t xml:space="preserve">Meeting draft </w:t>
      </w:r>
      <w:r w:rsidR="002B46D1" w:rsidRPr="0009109D">
        <w:rPr>
          <w:rFonts w:cs="Times New Roman"/>
          <w:sz w:val="22"/>
          <w:szCs w:val="22"/>
          <w:lang w:val="en-US"/>
        </w:rPr>
        <w:t xml:space="preserve">Minutes </w:t>
      </w:r>
      <w:r w:rsidR="00CD7ED8" w:rsidRPr="0009109D">
        <w:rPr>
          <w:rFonts w:cs="Times New Roman"/>
          <w:sz w:val="22"/>
          <w:szCs w:val="22"/>
          <w:lang w:val="en-US"/>
        </w:rPr>
        <w:t xml:space="preserve">was ready </w:t>
      </w:r>
      <w:r w:rsidRPr="0009109D">
        <w:rPr>
          <w:rFonts w:cs="Times New Roman"/>
          <w:sz w:val="22"/>
          <w:szCs w:val="22"/>
          <w:lang w:val="en-US"/>
        </w:rPr>
        <w:t>and circulated t</w:t>
      </w:r>
      <w:r w:rsidR="00CD7ED8" w:rsidRPr="0009109D">
        <w:rPr>
          <w:rFonts w:cs="Times New Roman"/>
          <w:sz w:val="22"/>
          <w:szCs w:val="22"/>
          <w:lang w:val="en-US"/>
        </w:rPr>
        <w:t xml:space="preserve">o </w:t>
      </w:r>
      <w:r w:rsidRPr="0009109D">
        <w:rPr>
          <w:rFonts w:cs="Times New Roman"/>
          <w:sz w:val="22"/>
          <w:szCs w:val="22"/>
          <w:lang w:val="en-US"/>
        </w:rPr>
        <w:t xml:space="preserve">PSC </w:t>
      </w:r>
      <w:r w:rsidR="00CD7ED8" w:rsidRPr="0009109D">
        <w:rPr>
          <w:rFonts w:cs="Times New Roman"/>
          <w:sz w:val="22"/>
          <w:szCs w:val="22"/>
          <w:lang w:val="en-US"/>
        </w:rPr>
        <w:t xml:space="preserve">members </w:t>
      </w:r>
      <w:r w:rsidR="002B46D1" w:rsidRPr="0009109D">
        <w:rPr>
          <w:rFonts w:cs="Times New Roman"/>
          <w:sz w:val="22"/>
          <w:szCs w:val="22"/>
          <w:lang w:val="en-US"/>
        </w:rPr>
        <w:t xml:space="preserve">attending in February 2020 </w:t>
      </w:r>
      <w:r w:rsidR="00CD7ED8" w:rsidRPr="0009109D">
        <w:rPr>
          <w:rFonts w:cs="Times New Roman"/>
          <w:sz w:val="22"/>
          <w:szCs w:val="22"/>
          <w:lang w:val="en-US"/>
        </w:rPr>
        <w:t xml:space="preserve">via email </w:t>
      </w:r>
      <w:r w:rsidRPr="0009109D">
        <w:rPr>
          <w:rFonts w:cs="Times New Roman"/>
          <w:sz w:val="22"/>
          <w:szCs w:val="22"/>
          <w:lang w:val="en-US"/>
        </w:rPr>
        <w:t>of which it was acknowledged and</w:t>
      </w:r>
      <w:r w:rsidR="002B46D1" w:rsidRPr="0009109D">
        <w:rPr>
          <w:rFonts w:cs="Times New Roman"/>
          <w:sz w:val="22"/>
          <w:szCs w:val="22"/>
          <w:lang w:val="en-US"/>
        </w:rPr>
        <w:t xml:space="preserve"> accepted virtually. </w:t>
      </w:r>
      <w:r w:rsidRPr="0009109D">
        <w:rPr>
          <w:rFonts w:cs="Times New Roman"/>
          <w:sz w:val="22"/>
          <w:szCs w:val="22"/>
          <w:lang w:val="en-US"/>
        </w:rPr>
        <w:t xml:space="preserve"> </w:t>
      </w:r>
    </w:p>
    <w:p w14:paraId="0EF3B580" w14:textId="77777777" w:rsidR="004A1028" w:rsidRPr="0009109D" w:rsidRDefault="004A1028" w:rsidP="004A1028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highlight w:val="yellow"/>
          <w:lang w:val="en-US"/>
        </w:rPr>
      </w:pPr>
    </w:p>
    <w:p w14:paraId="795D2440" w14:textId="77777777" w:rsidR="00151384" w:rsidRPr="0009109D" w:rsidRDefault="0018642C" w:rsidP="001F60FB">
      <w:pPr>
        <w:pStyle w:val="ListParagraph"/>
        <w:tabs>
          <w:tab w:val="left" w:pos="567"/>
        </w:tabs>
        <w:ind w:left="0"/>
        <w:jc w:val="both"/>
        <w:rPr>
          <w:b/>
          <w:sz w:val="22"/>
          <w:szCs w:val="22"/>
        </w:rPr>
      </w:pPr>
      <w:r w:rsidRPr="0009109D">
        <w:rPr>
          <w:b/>
          <w:sz w:val="22"/>
          <w:szCs w:val="22"/>
        </w:rPr>
        <w:t>Issues</w:t>
      </w:r>
    </w:p>
    <w:p w14:paraId="0544AEAE" w14:textId="77777777" w:rsidR="00151384" w:rsidRPr="0009109D" w:rsidRDefault="00151384" w:rsidP="003315FE">
      <w:pPr>
        <w:tabs>
          <w:tab w:val="left" w:pos="567"/>
        </w:tabs>
        <w:ind w:left="567" w:hanging="567"/>
        <w:jc w:val="both"/>
        <w:rPr>
          <w:rFonts w:cs="Times New Roman"/>
          <w:b/>
          <w:sz w:val="22"/>
          <w:szCs w:val="22"/>
        </w:rPr>
      </w:pPr>
    </w:p>
    <w:p w14:paraId="6B86CD61" w14:textId="5F788AB7" w:rsidR="00D54F87" w:rsidRPr="0009109D" w:rsidRDefault="00D54F87" w:rsidP="00173AD2">
      <w:pPr>
        <w:pStyle w:val="NoSpacing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 w:rsidRPr="0009109D">
        <w:rPr>
          <w:rFonts w:cs="Times New Roman"/>
          <w:sz w:val="22"/>
          <w:szCs w:val="22"/>
          <w:lang w:val="en-US"/>
        </w:rPr>
        <w:t xml:space="preserve">Due to the travel </w:t>
      </w:r>
      <w:r w:rsidR="00AB7DF1">
        <w:rPr>
          <w:rFonts w:cs="Times New Roman"/>
          <w:sz w:val="22"/>
          <w:szCs w:val="22"/>
          <w:lang w:val="en-US"/>
        </w:rPr>
        <w:t>difficulties from E</w:t>
      </w:r>
      <w:r w:rsidR="005B14D2" w:rsidRPr="0009109D">
        <w:rPr>
          <w:rFonts w:cs="Times New Roman"/>
          <w:sz w:val="22"/>
          <w:szCs w:val="22"/>
          <w:lang w:val="en-US"/>
        </w:rPr>
        <w:t>urope</w:t>
      </w:r>
      <w:r w:rsidRPr="0009109D">
        <w:rPr>
          <w:rFonts w:cs="Times New Roman"/>
          <w:sz w:val="22"/>
          <w:szCs w:val="22"/>
          <w:lang w:val="en-US"/>
        </w:rPr>
        <w:t xml:space="preserve">, </w:t>
      </w:r>
      <w:r w:rsidR="005B14D2" w:rsidRPr="0009109D">
        <w:rPr>
          <w:rFonts w:cs="Times New Roman"/>
          <w:sz w:val="22"/>
          <w:szCs w:val="22"/>
          <w:lang w:val="en-US"/>
        </w:rPr>
        <w:t xml:space="preserve">UNIDO, </w:t>
      </w:r>
      <w:r w:rsidR="00211536" w:rsidRPr="0009109D">
        <w:rPr>
          <w:rFonts w:cs="Times New Roman"/>
          <w:sz w:val="22"/>
          <w:szCs w:val="22"/>
          <w:lang w:val="en-US"/>
        </w:rPr>
        <w:t>Austria and Norway all of which are major development partners to PCREEE were not able to attend</w:t>
      </w:r>
      <w:r w:rsidR="00F32A83" w:rsidRPr="0009109D">
        <w:rPr>
          <w:rFonts w:cs="Times New Roman"/>
          <w:sz w:val="22"/>
          <w:szCs w:val="22"/>
          <w:lang w:val="en-US"/>
        </w:rPr>
        <w:t xml:space="preserve"> the 4</w:t>
      </w:r>
      <w:r w:rsidR="00F32A83" w:rsidRPr="0009109D">
        <w:rPr>
          <w:rFonts w:cs="Times New Roman"/>
          <w:sz w:val="22"/>
          <w:szCs w:val="22"/>
          <w:vertAlign w:val="superscript"/>
          <w:lang w:val="en-US"/>
        </w:rPr>
        <w:t>th</w:t>
      </w:r>
      <w:r w:rsidR="00F32A83" w:rsidRPr="0009109D">
        <w:rPr>
          <w:rFonts w:cs="Times New Roman"/>
          <w:sz w:val="22"/>
          <w:szCs w:val="22"/>
          <w:lang w:val="en-US"/>
        </w:rPr>
        <w:t xml:space="preserve"> PSC Meeting. </w:t>
      </w:r>
      <w:r w:rsidR="00173AD2" w:rsidRPr="0009109D">
        <w:rPr>
          <w:rFonts w:cs="Times New Roman"/>
          <w:sz w:val="22"/>
          <w:szCs w:val="22"/>
          <w:lang w:val="en-US"/>
        </w:rPr>
        <w:t xml:space="preserve">Apologies were send in advance of the meeting. </w:t>
      </w:r>
    </w:p>
    <w:p w14:paraId="1349BFDA" w14:textId="77777777" w:rsidR="00F32A83" w:rsidRPr="0009109D" w:rsidRDefault="00F32A83" w:rsidP="00F32A83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3436BCBF" w14:textId="0D351569" w:rsidR="00F32A83" w:rsidRPr="0009109D" w:rsidRDefault="00F32A83" w:rsidP="00173AD2">
      <w:pPr>
        <w:pStyle w:val="NoSpacing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 w:rsidRPr="0009109D">
        <w:rPr>
          <w:rFonts w:cs="Times New Roman"/>
          <w:sz w:val="22"/>
          <w:szCs w:val="22"/>
          <w:lang w:val="en-US"/>
        </w:rPr>
        <w:t xml:space="preserve">The travel restrictions imposed by COVID19 and other work commitments contributed to the non-participation of other SC members. </w:t>
      </w:r>
      <w:r w:rsidR="00173AD2" w:rsidRPr="0009109D">
        <w:rPr>
          <w:rFonts w:cs="Times New Roman"/>
          <w:sz w:val="22"/>
          <w:szCs w:val="22"/>
          <w:lang w:val="en-US"/>
        </w:rPr>
        <w:t>Apologies were send in advance of the meeting.</w:t>
      </w:r>
    </w:p>
    <w:p w14:paraId="2694CA13" w14:textId="77777777" w:rsidR="0050032B" w:rsidRPr="0009109D" w:rsidRDefault="0050032B" w:rsidP="0050032B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7FAAE3F3" w14:textId="2470D2CF" w:rsidR="00853E0E" w:rsidRPr="0009109D" w:rsidRDefault="00F32A83" w:rsidP="00173AD2">
      <w:pPr>
        <w:pStyle w:val="NoSpacing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 w:rsidRPr="0009109D">
        <w:rPr>
          <w:rFonts w:cs="Times New Roman"/>
          <w:sz w:val="22"/>
          <w:szCs w:val="22"/>
          <w:lang w:val="en-US"/>
        </w:rPr>
        <w:t xml:space="preserve">The </w:t>
      </w:r>
      <w:r w:rsidR="00C1139E" w:rsidRPr="0009109D">
        <w:rPr>
          <w:rFonts w:cs="Times New Roman"/>
          <w:sz w:val="22"/>
          <w:szCs w:val="22"/>
          <w:lang w:val="en-US"/>
        </w:rPr>
        <w:t>4</w:t>
      </w:r>
      <w:r w:rsidR="00C1139E" w:rsidRPr="0009109D">
        <w:rPr>
          <w:rFonts w:cs="Times New Roman"/>
          <w:sz w:val="22"/>
          <w:szCs w:val="22"/>
          <w:vertAlign w:val="superscript"/>
          <w:lang w:val="en-US"/>
        </w:rPr>
        <w:t>th</w:t>
      </w:r>
      <w:r w:rsidR="00C1139E" w:rsidRPr="0009109D">
        <w:rPr>
          <w:rFonts w:cs="Times New Roman"/>
          <w:sz w:val="22"/>
          <w:szCs w:val="22"/>
          <w:lang w:val="en-US"/>
        </w:rPr>
        <w:t xml:space="preserve"> </w:t>
      </w:r>
      <w:r w:rsidRPr="0009109D">
        <w:rPr>
          <w:rFonts w:cs="Times New Roman"/>
          <w:sz w:val="22"/>
          <w:szCs w:val="22"/>
          <w:lang w:val="en-US"/>
        </w:rPr>
        <w:t>PSC Meeting</w:t>
      </w:r>
      <w:r w:rsidR="00C1139E" w:rsidRPr="0009109D">
        <w:rPr>
          <w:rFonts w:cs="Times New Roman"/>
          <w:sz w:val="22"/>
          <w:szCs w:val="22"/>
          <w:lang w:val="en-US"/>
        </w:rPr>
        <w:t xml:space="preserve"> noted</w:t>
      </w:r>
      <w:r w:rsidRPr="0009109D">
        <w:rPr>
          <w:rFonts w:cs="Times New Roman"/>
          <w:sz w:val="22"/>
          <w:szCs w:val="22"/>
          <w:lang w:val="en-US"/>
        </w:rPr>
        <w:t xml:space="preserve"> </w:t>
      </w:r>
      <w:r w:rsidR="00C1139E" w:rsidRPr="0009109D">
        <w:rPr>
          <w:rFonts w:cs="Times New Roman"/>
          <w:sz w:val="22"/>
          <w:szCs w:val="22"/>
          <w:lang w:val="en-US"/>
        </w:rPr>
        <w:t xml:space="preserve">the </w:t>
      </w:r>
      <w:r w:rsidR="001D0E29" w:rsidRPr="0009109D">
        <w:rPr>
          <w:rFonts w:cs="Times New Roman"/>
          <w:sz w:val="22"/>
          <w:szCs w:val="22"/>
          <w:lang w:val="en-US"/>
        </w:rPr>
        <w:t>need to</w:t>
      </w:r>
      <w:r w:rsidR="00CD7ED8" w:rsidRPr="0009109D">
        <w:rPr>
          <w:rFonts w:cs="Times New Roman"/>
          <w:sz w:val="22"/>
          <w:szCs w:val="22"/>
          <w:lang w:val="en-US"/>
        </w:rPr>
        <w:t xml:space="preserve"> </w:t>
      </w:r>
      <w:r w:rsidR="00C1139E" w:rsidRPr="0009109D">
        <w:rPr>
          <w:rFonts w:cs="Times New Roman"/>
          <w:sz w:val="22"/>
          <w:szCs w:val="22"/>
          <w:lang w:val="en-US"/>
        </w:rPr>
        <w:t xml:space="preserve">rotate the current country members who have served </w:t>
      </w:r>
      <w:r w:rsidR="00173AD2" w:rsidRPr="0009109D">
        <w:rPr>
          <w:rFonts w:cs="Times New Roman"/>
          <w:sz w:val="22"/>
          <w:szCs w:val="22"/>
          <w:lang w:val="en-US"/>
        </w:rPr>
        <w:t>o</w:t>
      </w:r>
      <w:r w:rsidR="00C1139E" w:rsidRPr="0009109D">
        <w:rPr>
          <w:rFonts w:cs="Times New Roman"/>
          <w:sz w:val="22"/>
          <w:szCs w:val="22"/>
          <w:lang w:val="en-US"/>
        </w:rPr>
        <w:t xml:space="preserve">n the </w:t>
      </w:r>
      <w:r w:rsidR="00173AD2" w:rsidRPr="0009109D">
        <w:rPr>
          <w:rFonts w:cs="Times New Roman"/>
          <w:sz w:val="22"/>
          <w:szCs w:val="22"/>
          <w:lang w:val="en-US"/>
        </w:rPr>
        <w:t>board for</w:t>
      </w:r>
      <w:r w:rsidR="00C1139E" w:rsidRPr="0009109D">
        <w:rPr>
          <w:rFonts w:cs="Times New Roman"/>
          <w:sz w:val="22"/>
          <w:szCs w:val="22"/>
          <w:lang w:val="en-US"/>
        </w:rPr>
        <w:t xml:space="preserve"> two years</w:t>
      </w:r>
      <w:r w:rsidR="000F3D5A" w:rsidRPr="0009109D">
        <w:rPr>
          <w:rFonts w:cs="Times New Roman"/>
          <w:sz w:val="22"/>
          <w:szCs w:val="22"/>
          <w:lang w:val="en-US"/>
        </w:rPr>
        <w:t xml:space="preserve"> (2019-2020)</w:t>
      </w:r>
      <w:r w:rsidR="00C1139E" w:rsidRPr="0009109D">
        <w:rPr>
          <w:rFonts w:cs="Times New Roman"/>
          <w:sz w:val="22"/>
          <w:szCs w:val="22"/>
          <w:lang w:val="en-US"/>
        </w:rPr>
        <w:t xml:space="preserve"> already. </w:t>
      </w:r>
    </w:p>
    <w:p w14:paraId="54478D19" w14:textId="36A0ADE0" w:rsidR="00FF258B" w:rsidRPr="0009109D" w:rsidRDefault="00FF258B" w:rsidP="0015373D">
      <w:pPr>
        <w:pStyle w:val="NoSpacing"/>
        <w:tabs>
          <w:tab w:val="left" w:pos="567"/>
        </w:tabs>
        <w:jc w:val="both"/>
        <w:rPr>
          <w:rFonts w:cs="Times New Roman"/>
          <w:sz w:val="22"/>
          <w:szCs w:val="22"/>
          <w:lang w:val="en-US"/>
        </w:rPr>
      </w:pPr>
    </w:p>
    <w:p w14:paraId="02BDC1A9" w14:textId="77777777" w:rsidR="00CD7ED8" w:rsidRPr="0009109D" w:rsidRDefault="00CD7ED8" w:rsidP="00CD7ED8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highlight w:val="yellow"/>
          <w:lang w:val="en-US"/>
        </w:rPr>
      </w:pPr>
    </w:p>
    <w:p w14:paraId="0614105C" w14:textId="77777777" w:rsidR="007117EB" w:rsidRPr="0009109D" w:rsidRDefault="007117EB" w:rsidP="001F60FB">
      <w:pPr>
        <w:pStyle w:val="NoSpacing"/>
        <w:jc w:val="both"/>
        <w:rPr>
          <w:rFonts w:cs="Times New Roman"/>
          <w:b/>
          <w:sz w:val="22"/>
          <w:szCs w:val="22"/>
        </w:rPr>
      </w:pPr>
      <w:r w:rsidRPr="0009109D">
        <w:rPr>
          <w:rFonts w:cs="Times New Roman"/>
          <w:b/>
          <w:sz w:val="22"/>
          <w:szCs w:val="22"/>
        </w:rPr>
        <w:t>Recommendations</w:t>
      </w:r>
    </w:p>
    <w:p w14:paraId="4AC445A1" w14:textId="77777777" w:rsidR="007117EB" w:rsidRPr="0009109D" w:rsidRDefault="007117EB" w:rsidP="004F6986">
      <w:pPr>
        <w:pStyle w:val="NoSpacing"/>
        <w:jc w:val="both"/>
        <w:rPr>
          <w:rFonts w:cs="Times New Roman"/>
          <w:sz w:val="22"/>
          <w:szCs w:val="22"/>
        </w:rPr>
      </w:pPr>
    </w:p>
    <w:p w14:paraId="66B011C5" w14:textId="77777777" w:rsidR="000F534A" w:rsidRPr="0009109D" w:rsidRDefault="000F534A" w:rsidP="00173AD2">
      <w:pPr>
        <w:pStyle w:val="NoSpacing"/>
        <w:numPr>
          <w:ilvl w:val="0"/>
          <w:numId w:val="2"/>
        </w:numPr>
        <w:ind w:left="567" w:hanging="567"/>
        <w:jc w:val="both"/>
        <w:rPr>
          <w:rFonts w:cs="Times New Roman"/>
          <w:sz w:val="22"/>
          <w:szCs w:val="22"/>
        </w:rPr>
      </w:pPr>
      <w:r w:rsidRPr="0009109D">
        <w:rPr>
          <w:rFonts w:cs="Times New Roman"/>
          <w:sz w:val="22"/>
          <w:szCs w:val="22"/>
        </w:rPr>
        <w:t xml:space="preserve">The </w:t>
      </w:r>
      <w:r w:rsidR="00025D11" w:rsidRPr="0009109D">
        <w:rPr>
          <w:rFonts w:cs="Times New Roman"/>
          <w:sz w:val="22"/>
          <w:szCs w:val="22"/>
        </w:rPr>
        <w:t>meeting is</w:t>
      </w:r>
      <w:r w:rsidRPr="0009109D">
        <w:rPr>
          <w:rFonts w:cs="Times New Roman"/>
          <w:sz w:val="22"/>
          <w:szCs w:val="22"/>
        </w:rPr>
        <w:t xml:space="preserve"> invited</w:t>
      </w:r>
      <w:r w:rsidR="007117EB" w:rsidRPr="0009109D">
        <w:rPr>
          <w:rFonts w:cs="Times New Roman"/>
          <w:sz w:val="22"/>
          <w:szCs w:val="22"/>
        </w:rPr>
        <w:t xml:space="preserve"> to</w:t>
      </w:r>
      <w:r w:rsidR="00025D11" w:rsidRPr="0009109D">
        <w:rPr>
          <w:rFonts w:cs="Times New Roman"/>
          <w:sz w:val="22"/>
          <w:szCs w:val="22"/>
        </w:rPr>
        <w:t>:</w:t>
      </w:r>
    </w:p>
    <w:p w14:paraId="0BA69C12" w14:textId="77777777" w:rsidR="000F534A" w:rsidRPr="0009109D" w:rsidRDefault="000F534A" w:rsidP="000F534A">
      <w:pPr>
        <w:pStyle w:val="NoSpacing"/>
        <w:ind w:left="567"/>
        <w:jc w:val="both"/>
        <w:rPr>
          <w:rFonts w:cs="Times New Roman"/>
          <w:sz w:val="22"/>
          <w:szCs w:val="22"/>
        </w:rPr>
      </w:pPr>
    </w:p>
    <w:p w14:paraId="308DDF62" w14:textId="0C9F980E" w:rsidR="00CD7ED8" w:rsidRDefault="00CD7ED8" w:rsidP="00173AD2">
      <w:pPr>
        <w:numPr>
          <w:ilvl w:val="0"/>
          <w:numId w:val="1"/>
        </w:numPr>
        <w:tabs>
          <w:tab w:val="left" w:pos="1276"/>
        </w:tabs>
        <w:ind w:left="1276" w:hanging="567"/>
        <w:jc w:val="both"/>
        <w:rPr>
          <w:rFonts w:cs="Times New Roman"/>
          <w:sz w:val="22"/>
          <w:szCs w:val="22"/>
        </w:rPr>
      </w:pPr>
      <w:r w:rsidRPr="0009109D">
        <w:rPr>
          <w:rFonts w:cs="Times New Roman"/>
          <w:sz w:val="22"/>
          <w:szCs w:val="22"/>
        </w:rPr>
        <w:t xml:space="preserve">Noted and endorse the </w:t>
      </w:r>
      <w:r w:rsidR="00C1139E" w:rsidRPr="0009109D">
        <w:rPr>
          <w:rFonts w:cs="Times New Roman"/>
          <w:sz w:val="22"/>
          <w:szCs w:val="22"/>
        </w:rPr>
        <w:t xml:space="preserve">4th PSC </w:t>
      </w:r>
      <w:r w:rsidRPr="0009109D">
        <w:rPr>
          <w:rFonts w:cs="Times New Roman"/>
          <w:sz w:val="22"/>
          <w:szCs w:val="22"/>
        </w:rPr>
        <w:t>meeting minutes</w:t>
      </w:r>
      <w:r w:rsidR="00AB7DF1">
        <w:rPr>
          <w:rFonts w:cs="Times New Roman"/>
          <w:sz w:val="22"/>
          <w:szCs w:val="22"/>
        </w:rPr>
        <w:t>.</w:t>
      </w:r>
    </w:p>
    <w:p w14:paraId="6198FC2B" w14:textId="77777777" w:rsidR="00AB7DF1" w:rsidRDefault="00AB7DF1" w:rsidP="00AB7DF1">
      <w:pPr>
        <w:tabs>
          <w:tab w:val="left" w:pos="1276"/>
        </w:tabs>
        <w:ind w:left="1276"/>
        <w:jc w:val="both"/>
        <w:rPr>
          <w:rFonts w:cs="Times New Roman"/>
          <w:sz w:val="22"/>
          <w:szCs w:val="22"/>
        </w:rPr>
      </w:pPr>
    </w:p>
    <w:p w14:paraId="1A65BE48" w14:textId="56C02621" w:rsidR="00AB7DF1" w:rsidRPr="0009109D" w:rsidRDefault="00AB7DF1" w:rsidP="00173AD2">
      <w:pPr>
        <w:numPr>
          <w:ilvl w:val="0"/>
          <w:numId w:val="1"/>
        </w:numPr>
        <w:tabs>
          <w:tab w:val="left" w:pos="1276"/>
        </w:tabs>
        <w:ind w:left="1276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Noted the progress with the implementation of matters arising from the minutes of PSC 4. </w:t>
      </w:r>
    </w:p>
    <w:p w14:paraId="17FFCB65" w14:textId="77777777" w:rsidR="000B211C" w:rsidRPr="0009109D" w:rsidRDefault="000B211C" w:rsidP="000B211C">
      <w:pPr>
        <w:tabs>
          <w:tab w:val="left" w:pos="1276"/>
        </w:tabs>
        <w:ind w:left="1276"/>
        <w:jc w:val="both"/>
        <w:rPr>
          <w:rFonts w:cs="Times New Roman"/>
          <w:sz w:val="22"/>
          <w:szCs w:val="22"/>
        </w:rPr>
      </w:pPr>
    </w:p>
    <w:p w14:paraId="5781D489" w14:textId="359FBCCA" w:rsidR="00CD7ED8" w:rsidRPr="0009109D" w:rsidRDefault="00CD7ED8" w:rsidP="00C70137">
      <w:pPr>
        <w:tabs>
          <w:tab w:val="left" w:pos="1276"/>
        </w:tabs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14:paraId="6F1326A5" w14:textId="77777777" w:rsidR="00173AD2" w:rsidRPr="0009109D" w:rsidRDefault="00173AD2" w:rsidP="00C70137">
      <w:pPr>
        <w:tabs>
          <w:tab w:val="left" w:pos="1276"/>
        </w:tabs>
        <w:jc w:val="both"/>
        <w:rPr>
          <w:rFonts w:cs="Times New Roman"/>
          <w:sz w:val="22"/>
          <w:szCs w:val="22"/>
        </w:rPr>
      </w:pPr>
    </w:p>
    <w:p w14:paraId="57B9F6DD" w14:textId="77777777" w:rsidR="00FC76AE" w:rsidRPr="0009109D" w:rsidRDefault="00FC76AE" w:rsidP="00A2557D">
      <w:pPr>
        <w:pStyle w:val="ListParagraph"/>
        <w:rPr>
          <w:b/>
          <w:sz w:val="22"/>
          <w:szCs w:val="22"/>
        </w:rPr>
      </w:pPr>
    </w:p>
    <w:p w14:paraId="14406DA8" w14:textId="2DFF48C5" w:rsidR="004E1615" w:rsidRPr="0009109D" w:rsidRDefault="004E1615" w:rsidP="00C23DDC">
      <w:pPr>
        <w:pStyle w:val="NoSpacing"/>
        <w:rPr>
          <w:rFonts w:cs="Times New Roman"/>
          <w:sz w:val="22"/>
          <w:szCs w:val="22"/>
        </w:rPr>
      </w:pPr>
      <w:r w:rsidRPr="0009109D">
        <w:rPr>
          <w:rFonts w:cs="Times New Roman"/>
          <w:sz w:val="22"/>
          <w:szCs w:val="22"/>
        </w:rPr>
        <w:t>[</w:t>
      </w:r>
      <w:r w:rsidR="00C70137" w:rsidRPr="0009109D">
        <w:rPr>
          <w:rFonts w:cs="Times New Roman"/>
          <w:sz w:val="22"/>
          <w:szCs w:val="22"/>
        </w:rPr>
        <w:t>13</w:t>
      </w:r>
      <w:r w:rsidR="00C70137" w:rsidRPr="0009109D">
        <w:rPr>
          <w:rFonts w:cs="Times New Roman"/>
          <w:sz w:val="22"/>
          <w:szCs w:val="22"/>
          <w:vertAlign w:val="superscript"/>
        </w:rPr>
        <w:t>th</w:t>
      </w:r>
      <w:r w:rsidR="00C70137" w:rsidRPr="0009109D">
        <w:rPr>
          <w:rFonts w:cs="Times New Roman"/>
          <w:sz w:val="22"/>
          <w:szCs w:val="22"/>
        </w:rPr>
        <w:t xml:space="preserve"> </w:t>
      </w:r>
      <w:r w:rsidR="00F10917" w:rsidRPr="0009109D">
        <w:rPr>
          <w:rFonts w:cs="Times New Roman"/>
          <w:sz w:val="22"/>
          <w:szCs w:val="22"/>
        </w:rPr>
        <w:t>November 2020</w:t>
      </w:r>
      <w:r w:rsidRPr="0009109D">
        <w:rPr>
          <w:rFonts w:cs="Times New Roman"/>
          <w:sz w:val="22"/>
          <w:szCs w:val="22"/>
        </w:rPr>
        <w:t>]</w:t>
      </w:r>
    </w:p>
    <w:sectPr w:rsidR="004E1615" w:rsidRPr="0009109D" w:rsidSect="00B50177">
      <w:headerReference w:type="default" r:id="rId8"/>
      <w:footerReference w:type="default" r:id="rId9"/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FDAC" w14:textId="77777777" w:rsidR="006A3068" w:rsidRDefault="006A3068" w:rsidP="004E6D0C">
      <w:r>
        <w:separator/>
      </w:r>
    </w:p>
  </w:endnote>
  <w:endnote w:type="continuationSeparator" w:id="0">
    <w:p w14:paraId="4EE56304" w14:textId="77777777" w:rsidR="006A3068" w:rsidRDefault="006A3068" w:rsidP="004E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2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5BF3DF4" w14:textId="4514F21B" w:rsidR="00DD3F5F" w:rsidRPr="001F5B92" w:rsidRDefault="00DD3F5F">
        <w:pPr>
          <w:pStyle w:val="Footer"/>
          <w:jc w:val="center"/>
          <w:rPr>
            <w:sz w:val="22"/>
            <w:szCs w:val="22"/>
          </w:rPr>
        </w:pPr>
        <w:r w:rsidRPr="001F5B92">
          <w:rPr>
            <w:sz w:val="22"/>
            <w:szCs w:val="22"/>
          </w:rPr>
          <w:fldChar w:fldCharType="begin"/>
        </w:r>
        <w:r w:rsidRPr="001F5B92">
          <w:rPr>
            <w:sz w:val="22"/>
            <w:szCs w:val="22"/>
          </w:rPr>
          <w:instrText xml:space="preserve"> PAGE   \* MERGEFORMAT </w:instrText>
        </w:r>
        <w:r w:rsidRPr="001F5B92">
          <w:rPr>
            <w:sz w:val="22"/>
            <w:szCs w:val="22"/>
          </w:rPr>
          <w:fldChar w:fldCharType="separate"/>
        </w:r>
        <w:r w:rsidR="006A3068">
          <w:rPr>
            <w:noProof/>
            <w:sz w:val="22"/>
            <w:szCs w:val="22"/>
          </w:rPr>
          <w:t>1</w:t>
        </w:r>
        <w:r w:rsidRPr="001F5B92">
          <w:rPr>
            <w:sz w:val="22"/>
            <w:szCs w:val="22"/>
          </w:rPr>
          <w:fldChar w:fldCharType="end"/>
        </w:r>
      </w:p>
    </w:sdtContent>
  </w:sdt>
  <w:p w14:paraId="04B899A1" w14:textId="77777777" w:rsidR="00DD3F5F" w:rsidRDefault="00DD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19EC3" w14:textId="77777777" w:rsidR="006A3068" w:rsidRDefault="006A3068" w:rsidP="004E6D0C">
      <w:r>
        <w:separator/>
      </w:r>
    </w:p>
  </w:footnote>
  <w:footnote w:type="continuationSeparator" w:id="0">
    <w:p w14:paraId="2CBD1447" w14:textId="77777777" w:rsidR="006A3068" w:rsidRDefault="006A3068" w:rsidP="004E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18EA" w14:textId="027EBFAE" w:rsidR="00DD3F5F" w:rsidRPr="00537027" w:rsidRDefault="00B50177" w:rsidP="00B50177">
    <w:pPr>
      <w:pStyle w:val="Header"/>
      <w:tabs>
        <w:tab w:val="clear" w:pos="9026"/>
        <w:tab w:val="right" w:pos="9072"/>
      </w:tabs>
      <w:jc w:val="center"/>
    </w:pPr>
    <w:r w:rsidRPr="00B50177">
      <w:rPr>
        <w:noProof/>
        <w:sz w:val="22"/>
        <w:szCs w:val="22"/>
      </w:rPr>
      <w:drawing>
        <wp:inline distT="0" distB="0" distL="0" distR="0" wp14:anchorId="53366C7E" wp14:editId="69ED0CAA">
          <wp:extent cx="2466666" cy="480949"/>
          <wp:effectExtent l="0" t="0" r="0" b="0"/>
          <wp:docPr id="7" name="Imagen 9">
            <a:extLst xmlns:a="http://schemas.openxmlformats.org/drawingml/2006/main">
              <a:ext uri="{FF2B5EF4-FFF2-40B4-BE49-F238E27FC236}">
                <a16:creationId xmlns:a16="http://schemas.microsoft.com/office/drawing/2014/main" id="{D1D279E3-F821-4FAD-89F2-5E7EA5153CF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9">
                    <a:extLst>
                      <a:ext uri="{FF2B5EF4-FFF2-40B4-BE49-F238E27FC236}">
                        <a16:creationId xmlns:a16="http://schemas.microsoft.com/office/drawing/2014/main" id="{D1D279E3-F821-4FAD-89F2-5E7EA5153CFC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563" cy="48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B27"/>
    <w:multiLevelType w:val="hybridMultilevel"/>
    <w:tmpl w:val="0D56E36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244"/>
    <w:multiLevelType w:val="hybridMultilevel"/>
    <w:tmpl w:val="EC02C2FC"/>
    <w:lvl w:ilvl="0" w:tplc="0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0DF0746B"/>
    <w:multiLevelType w:val="hybridMultilevel"/>
    <w:tmpl w:val="00AC17C0"/>
    <w:lvl w:ilvl="0" w:tplc="85E4FD2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54384F7E">
      <w:start w:val="8"/>
      <w:numFmt w:val="lowerRoman"/>
      <w:lvlText w:val="%2)"/>
      <w:lvlJc w:val="left"/>
      <w:pPr>
        <w:ind w:left="786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6B45"/>
    <w:multiLevelType w:val="hybridMultilevel"/>
    <w:tmpl w:val="CDE68366"/>
    <w:lvl w:ilvl="0" w:tplc="85E4FD28">
      <w:start w:val="1"/>
      <w:numFmt w:val="lowerRoman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F23324"/>
    <w:multiLevelType w:val="hybridMultilevel"/>
    <w:tmpl w:val="2708CCB4"/>
    <w:lvl w:ilvl="0" w:tplc="0C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3E52"/>
    <w:multiLevelType w:val="hybridMultilevel"/>
    <w:tmpl w:val="025AA5AC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3A2023E0"/>
    <w:multiLevelType w:val="hybridMultilevel"/>
    <w:tmpl w:val="63842648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E4B2B"/>
    <w:multiLevelType w:val="hybridMultilevel"/>
    <w:tmpl w:val="DC1E190C"/>
    <w:lvl w:ilvl="0" w:tplc="0C0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B219C9"/>
    <w:multiLevelType w:val="hybridMultilevel"/>
    <w:tmpl w:val="AB464AB6"/>
    <w:lvl w:ilvl="0" w:tplc="BB0AE1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05D88"/>
    <w:multiLevelType w:val="hybridMultilevel"/>
    <w:tmpl w:val="C032EF5E"/>
    <w:lvl w:ilvl="0" w:tplc="FC584A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0640D"/>
    <w:multiLevelType w:val="hybridMultilevel"/>
    <w:tmpl w:val="FE302D04"/>
    <w:lvl w:ilvl="0" w:tplc="80302A1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3A7D2A"/>
    <w:multiLevelType w:val="hybridMultilevel"/>
    <w:tmpl w:val="20FEF9FE"/>
    <w:lvl w:ilvl="0" w:tplc="1DA2304A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00FD6"/>
    <w:multiLevelType w:val="hybridMultilevel"/>
    <w:tmpl w:val="6C9E79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3164" w:hanging="360"/>
      </w:pPr>
    </w:lvl>
    <w:lvl w:ilvl="2" w:tplc="0C09001B" w:tentative="1">
      <w:start w:val="1"/>
      <w:numFmt w:val="lowerRoman"/>
      <w:lvlText w:val="%3."/>
      <w:lvlJc w:val="right"/>
      <w:pPr>
        <w:ind w:left="3884" w:hanging="180"/>
      </w:pPr>
    </w:lvl>
    <w:lvl w:ilvl="3" w:tplc="0C09000F" w:tentative="1">
      <w:start w:val="1"/>
      <w:numFmt w:val="decimal"/>
      <w:lvlText w:val="%4."/>
      <w:lvlJc w:val="left"/>
      <w:pPr>
        <w:ind w:left="4604" w:hanging="360"/>
      </w:pPr>
    </w:lvl>
    <w:lvl w:ilvl="4" w:tplc="0C090019" w:tentative="1">
      <w:start w:val="1"/>
      <w:numFmt w:val="lowerLetter"/>
      <w:lvlText w:val="%5."/>
      <w:lvlJc w:val="left"/>
      <w:pPr>
        <w:ind w:left="5324" w:hanging="360"/>
      </w:pPr>
    </w:lvl>
    <w:lvl w:ilvl="5" w:tplc="0C09001B" w:tentative="1">
      <w:start w:val="1"/>
      <w:numFmt w:val="lowerRoman"/>
      <w:lvlText w:val="%6."/>
      <w:lvlJc w:val="right"/>
      <w:pPr>
        <w:ind w:left="6044" w:hanging="180"/>
      </w:pPr>
    </w:lvl>
    <w:lvl w:ilvl="6" w:tplc="0C09000F" w:tentative="1">
      <w:start w:val="1"/>
      <w:numFmt w:val="decimal"/>
      <w:lvlText w:val="%7."/>
      <w:lvlJc w:val="left"/>
      <w:pPr>
        <w:ind w:left="6764" w:hanging="360"/>
      </w:pPr>
    </w:lvl>
    <w:lvl w:ilvl="7" w:tplc="0C090019" w:tentative="1">
      <w:start w:val="1"/>
      <w:numFmt w:val="lowerLetter"/>
      <w:lvlText w:val="%8."/>
      <w:lvlJc w:val="left"/>
      <w:pPr>
        <w:ind w:left="7484" w:hanging="360"/>
      </w:pPr>
    </w:lvl>
    <w:lvl w:ilvl="8" w:tplc="0C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3" w15:restartNumberingAfterBreak="0">
    <w:nsid w:val="70C74B42"/>
    <w:multiLevelType w:val="hybridMultilevel"/>
    <w:tmpl w:val="80B4048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236649FA">
      <w:numFmt w:val="bullet"/>
      <w:lvlText w:val="-"/>
      <w:lvlJc w:val="left"/>
      <w:pPr>
        <w:ind w:left="2160" w:hanging="720"/>
      </w:pPr>
      <w:rPr>
        <w:rFonts w:ascii="Verdana" w:eastAsiaTheme="minorHAnsi" w:hAnsi="Verdana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49"/>
    <w:rsid w:val="00006A95"/>
    <w:rsid w:val="0002185E"/>
    <w:rsid w:val="00025D11"/>
    <w:rsid w:val="00031840"/>
    <w:rsid w:val="00032DC6"/>
    <w:rsid w:val="00035F1A"/>
    <w:rsid w:val="00051568"/>
    <w:rsid w:val="000611FF"/>
    <w:rsid w:val="000725F2"/>
    <w:rsid w:val="00073B8D"/>
    <w:rsid w:val="0007614D"/>
    <w:rsid w:val="00080AA2"/>
    <w:rsid w:val="00081937"/>
    <w:rsid w:val="000874B6"/>
    <w:rsid w:val="0009109D"/>
    <w:rsid w:val="000A5C5F"/>
    <w:rsid w:val="000B1B1E"/>
    <w:rsid w:val="000B211C"/>
    <w:rsid w:val="000B6C31"/>
    <w:rsid w:val="000D0C28"/>
    <w:rsid w:val="000D358C"/>
    <w:rsid w:val="000F354C"/>
    <w:rsid w:val="000F3D5A"/>
    <w:rsid w:val="000F423B"/>
    <w:rsid w:val="000F534A"/>
    <w:rsid w:val="0010452C"/>
    <w:rsid w:val="00105E41"/>
    <w:rsid w:val="00106D1A"/>
    <w:rsid w:val="001113ED"/>
    <w:rsid w:val="001120BD"/>
    <w:rsid w:val="001207BF"/>
    <w:rsid w:val="0012411D"/>
    <w:rsid w:val="001313A2"/>
    <w:rsid w:val="0014312F"/>
    <w:rsid w:val="00151384"/>
    <w:rsid w:val="0015373D"/>
    <w:rsid w:val="00173AD2"/>
    <w:rsid w:val="00176F62"/>
    <w:rsid w:val="00184C36"/>
    <w:rsid w:val="00184CA8"/>
    <w:rsid w:val="0018642C"/>
    <w:rsid w:val="00187A17"/>
    <w:rsid w:val="0019246E"/>
    <w:rsid w:val="001928B5"/>
    <w:rsid w:val="0019636B"/>
    <w:rsid w:val="001A6481"/>
    <w:rsid w:val="001B3D6B"/>
    <w:rsid w:val="001C31E4"/>
    <w:rsid w:val="001C58AB"/>
    <w:rsid w:val="001D0E29"/>
    <w:rsid w:val="001D1E33"/>
    <w:rsid w:val="001D4D0B"/>
    <w:rsid w:val="001E767E"/>
    <w:rsid w:val="001F4B32"/>
    <w:rsid w:val="001F5B92"/>
    <w:rsid w:val="001F60FB"/>
    <w:rsid w:val="00211536"/>
    <w:rsid w:val="00211E50"/>
    <w:rsid w:val="00213A29"/>
    <w:rsid w:val="002148D6"/>
    <w:rsid w:val="002231B4"/>
    <w:rsid w:val="00227ABB"/>
    <w:rsid w:val="00235800"/>
    <w:rsid w:val="00237DAA"/>
    <w:rsid w:val="002406E5"/>
    <w:rsid w:val="002457A2"/>
    <w:rsid w:val="0025045E"/>
    <w:rsid w:val="00260C8E"/>
    <w:rsid w:val="00264E60"/>
    <w:rsid w:val="00272BBC"/>
    <w:rsid w:val="00277BC6"/>
    <w:rsid w:val="002808DD"/>
    <w:rsid w:val="0028308E"/>
    <w:rsid w:val="00285CC1"/>
    <w:rsid w:val="002918BA"/>
    <w:rsid w:val="002A4262"/>
    <w:rsid w:val="002A4DD5"/>
    <w:rsid w:val="002A58ED"/>
    <w:rsid w:val="002B46D1"/>
    <w:rsid w:val="002D0864"/>
    <w:rsid w:val="002D3CB9"/>
    <w:rsid w:val="002D58E5"/>
    <w:rsid w:val="002E000B"/>
    <w:rsid w:val="002E0FB3"/>
    <w:rsid w:val="002E2336"/>
    <w:rsid w:val="003023CB"/>
    <w:rsid w:val="00314D3D"/>
    <w:rsid w:val="003306B8"/>
    <w:rsid w:val="003315FE"/>
    <w:rsid w:val="0033392D"/>
    <w:rsid w:val="00340686"/>
    <w:rsid w:val="003429A6"/>
    <w:rsid w:val="00350CF2"/>
    <w:rsid w:val="00355724"/>
    <w:rsid w:val="003639D9"/>
    <w:rsid w:val="0037090B"/>
    <w:rsid w:val="00395232"/>
    <w:rsid w:val="003A3984"/>
    <w:rsid w:val="003A3B33"/>
    <w:rsid w:val="003A71AD"/>
    <w:rsid w:val="003B06E6"/>
    <w:rsid w:val="003B18B1"/>
    <w:rsid w:val="003B2A0C"/>
    <w:rsid w:val="003C0D87"/>
    <w:rsid w:val="003C127E"/>
    <w:rsid w:val="003C6F57"/>
    <w:rsid w:val="003D1525"/>
    <w:rsid w:val="003D1BC9"/>
    <w:rsid w:val="003D1DD6"/>
    <w:rsid w:val="003D54BB"/>
    <w:rsid w:val="003D6DD6"/>
    <w:rsid w:val="003F1D56"/>
    <w:rsid w:val="0040009D"/>
    <w:rsid w:val="004002B6"/>
    <w:rsid w:val="00402739"/>
    <w:rsid w:val="00404E3D"/>
    <w:rsid w:val="00406369"/>
    <w:rsid w:val="00416CB9"/>
    <w:rsid w:val="00426696"/>
    <w:rsid w:val="00431072"/>
    <w:rsid w:val="00431A97"/>
    <w:rsid w:val="004356C7"/>
    <w:rsid w:val="004574A9"/>
    <w:rsid w:val="00460E25"/>
    <w:rsid w:val="004732E9"/>
    <w:rsid w:val="00473AAB"/>
    <w:rsid w:val="0048172D"/>
    <w:rsid w:val="004838CB"/>
    <w:rsid w:val="0048618B"/>
    <w:rsid w:val="004A1028"/>
    <w:rsid w:val="004B2FED"/>
    <w:rsid w:val="004B60D6"/>
    <w:rsid w:val="004B642F"/>
    <w:rsid w:val="004C50DA"/>
    <w:rsid w:val="004C594B"/>
    <w:rsid w:val="004D2CF8"/>
    <w:rsid w:val="004D3D2A"/>
    <w:rsid w:val="004D48EC"/>
    <w:rsid w:val="004E1615"/>
    <w:rsid w:val="004E6024"/>
    <w:rsid w:val="004E6D0C"/>
    <w:rsid w:val="004F1529"/>
    <w:rsid w:val="004F4902"/>
    <w:rsid w:val="004F6986"/>
    <w:rsid w:val="0050032B"/>
    <w:rsid w:val="00510613"/>
    <w:rsid w:val="00525E1F"/>
    <w:rsid w:val="00526D5A"/>
    <w:rsid w:val="00527228"/>
    <w:rsid w:val="00533F91"/>
    <w:rsid w:val="005340C8"/>
    <w:rsid w:val="00537027"/>
    <w:rsid w:val="00537E4B"/>
    <w:rsid w:val="00552441"/>
    <w:rsid w:val="00557C52"/>
    <w:rsid w:val="00563C3A"/>
    <w:rsid w:val="005653EB"/>
    <w:rsid w:val="00572126"/>
    <w:rsid w:val="00573ECF"/>
    <w:rsid w:val="00576379"/>
    <w:rsid w:val="00581074"/>
    <w:rsid w:val="005931FE"/>
    <w:rsid w:val="00595312"/>
    <w:rsid w:val="005A3F77"/>
    <w:rsid w:val="005B14D2"/>
    <w:rsid w:val="005C3BC6"/>
    <w:rsid w:val="005C5975"/>
    <w:rsid w:val="005C5DE9"/>
    <w:rsid w:val="005D4E2D"/>
    <w:rsid w:val="005E1F2E"/>
    <w:rsid w:val="005E553A"/>
    <w:rsid w:val="005F53E7"/>
    <w:rsid w:val="00603090"/>
    <w:rsid w:val="006044BC"/>
    <w:rsid w:val="006077B8"/>
    <w:rsid w:val="00610B75"/>
    <w:rsid w:val="006155E5"/>
    <w:rsid w:val="00624791"/>
    <w:rsid w:val="0063629F"/>
    <w:rsid w:val="006446E2"/>
    <w:rsid w:val="00651B64"/>
    <w:rsid w:val="0065576D"/>
    <w:rsid w:val="00661002"/>
    <w:rsid w:val="006739DA"/>
    <w:rsid w:val="006759D5"/>
    <w:rsid w:val="0068208D"/>
    <w:rsid w:val="0069200D"/>
    <w:rsid w:val="00693381"/>
    <w:rsid w:val="006A063F"/>
    <w:rsid w:val="006A3068"/>
    <w:rsid w:val="006B7E53"/>
    <w:rsid w:val="006C34D8"/>
    <w:rsid w:val="006C3D3A"/>
    <w:rsid w:val="006C6064"/>
    <w:rsid w:val="006D18D9"/>
    <w:rsid w:val="006D7CDA"/>
    <w:rsid w:val="006E10B9"/>
    <w:rsid w:val="006F37C0"/>
    <w:rsid w:val="006F3A01"/>
    <w:rsid w:val="00700D74"/>
    <w:rsid w:val="00707630"/>
    <w:rsid w:val="007117EB"/>
    <w:rsid w:val="00712378"/>
    <w:rsid w:val="0071239B"/>
    <w:rsid w:val="00712A58"/>
    <w:rsid w:val="00714A26"/>
    <w:rsid w:val="00716AE6"/>
    <w:rsid w:val="0072504B"/>
    <w:rsid w:val="00727091"/>
    <w:rsid w:val="00732EED"/>
    <w:rsid w:val="00744E65"/>
    <w:rsid w:val="00751E03"/>
    <w:rsid w:val="007547C8"/>
    <w:rsid w:val="00760666"/>
    <w:rsid w:val="007627D6"/>
    <w:rsid w:val="00765BFF"/>
    <w:rsid w:val="007736BA"/>
    <w:rsid w:val="00775CE5"/>
    <w:rsid w:val="00776C73"/>
    <w:rsid w:val="00781143"/>
    <w:rsid w:val="0078131F"/>
    <w:rsid w:val="00785D20"/>
    <w:rsid w:val="007879AD"/>
    <w:rsid w:val="007978C0"/>
    <w:rsid w:val="007A2E3F"/>
    <w:rsid w:val="007A6A8D"/>
    <w:rsid w:val="007B0628"/>
    <w:rsid w:val="007B45BC"/>
    <w:rsid w:val="007C158E"/>
    <w:rsid w:val="007C1AF4"/>
    <w:rsid w:val="007D430C"/>
    <w:rsid w:val="007E6564"/>
    <w:rsid w:val="007F29B7"/>
    <w:rsid w:val="0081798D"/>
    <w:rsid w:val="00826DD0"/>
    <w:rsid w:val="00827E06"/>
    <w:rsid w:val="00836895"/>
    <w:rsid w:val="00853E0E"/>
    <w:rsid w:val="00856753"/>
    <w:rsid w:val="00861714"/>
    <w:rsid w:val="00861B7D"/>
    <w:rsid w:val="00862A34"/>
    <w:rsid w:val="00862E0C"/>
    <w:rsid w:val="0086552A"/>
    <w:rsid w:val="0086639B"/>
    <w:rsid w:val="00872821"/>
    <w:rsid w:val="00875F69"/>
    <w:rsid w:val="008774CD"/>
    <w:rsid w:val="00881077"/>
    <w:rsid w:val="00882E7D"/>
    <w:rsid w:val="0088361B"/>
    <w:rsid w:val="0088395C"/>
    <w:rsid w:val="008839E2"/>
    <w:rsid w:val="00885E31"/>
    <w:rsid w:val="00891428"/>
    <w:rsid w:val="00894785"/>
    <w:rsid w:val="008978F2"/>
    <w:rsid w:val="008B5FEF"/>
    <w:rsid w:val="008C1B3D"/>
    <w:rsid w:val="008C7A99"/>
    <w:rsid w:val="008C7BBE"/>
    <w:rsid w:val="008D27A2"/>
    <w:rsid w:val="008D2B96"/>
    <w:rsid w:val="008D7257"/>
    <w:rsid w:val="008E03C5"/>
    <w:rsid w:val="008E1EAA"/>
    <w:rsid w:val="008E2BAD"/>
    <w:rsid w:val="008E5E7E"/>
    <w:rsid w:val="008F063A"/>
    <w:rsid w:val="008F0D2F"/>
    <w:rsid w:val="008F1FE4"/>
    <w:rsid w:val="008F47E3"/>
    <w:rsid w:val="00901F91"/>
    <w:rsid w:val="00904DED"/>
    <w:rsid w:val="00910992"/>
    <w:rsid w:val="00913DE9"/>
    <w:rsid w:val="0092105E"/>
    <w:rsid w:val="009326A7"/>
    <w:rsid w:val="00937AD9"/>
    <w:rsid w:val="009406F2"/>
    <w:rsid w:val="00943EB6"/>
    <w:rsid w:val="0096125F"/>
    <w:rsid w:val="00961805"/>
    <w:rsid w:val="009648F7"/>
    <w:rsid w:val="00965F9E"/>
    <w:rsid w:val="00970753"/>
    <w:rsid w:val="00974A30"/>
    <w:rsid w:val="00982A61"/>
    <w:rsid w:val="00985DD1"/>
    <w:rsid w:val="0098721C"/>
    <w:rsid w:val="0099089B"/>
    <w:rsid w:val="00992EE2"/>
    <w:rsid w:val="009958D9"/>
    <w:rsid w:val="00996DE3"/>
    <w:rsid w:val="00997256"/>
    <w:rsid w:val="009B7F42"/>
    <w:rsid w:val="009C044D"/>
    <w:rsid w:val="009D3A91"/>
    <w:rsid w:val="009F4A15"/>
    <w:rsid w:val="009F67CD"/>
    <w:rsid w:val="00A026E1"/>
    <w:rsid w:val="00A032EF"/>
    <w:rsid w:val="00A1622A"/>
    <w:rsid w:val="00A2019F"/>
    <w:rsid w:val="00A2557D"/>
    <w:rsid w:val="00A25CAE"/>
    <w:rsid w:val="00A26F30"/>
    <w:rsid w:val="00A31DC1"/>
    <w:rsid w:val="00A31F2E"/>
    <w:rsid w:val="00A613EE"/>
    <w:rsid w:val="00A61786"/>
    <w:rsid w:val="00A65F35"/>
    <w:rsid w:val="00A6644E"/>
    <w:rsid w:val="00A67F8C"/>
    <w:rsid w:val="00A70487"/>
    <w:rsid w:val="00A72930"/>
    <w:rsid w:val="00A739B0"/>
    <w:rsid w:val="00A86208"/>
    <w:rsid w:val="00A97288"/>
    <w:rsid w:val="00AA23DA"/>
    <w:rsid w:val="00AA3F45"/>
    <w:rsid w:val="00AA4374"/>
    <w:rsid w:val="00AA7791"/>
    <w:rsid w:val="00AA78FA"/>
    <w:rsid w:val="00AB7DF1"/>
    <w:rsid w:val="00AD4980"/>
    <w:rsid w:val="00AE0DC0"/>
    <w:rsid w:val="00AE4BC6"/>
    <w:rsid w:val="00AF2211"/>
    <w:rsid w:val="00B036A0"/>
    <w:rsid w:val="00B14886"/>
    <w:rsid w:val="00B22996"/>
    <w:rsid w:val="00B2544C"/>
    <w:rsid w:val="00B301E1"/>
    <w:rsid w:val="00B31996"/>
    <w:rsid w:val="00B336B4"/>
    <w:rsid w:val="00B35ADC"/>
    <w:rsid w:val="00B41797"/>
    <w:rsid w:val="00B43170"/>
    <w:rsid w:val="00B454AD"/>
    <w:rsid w:val="00B50177"/>
    <w:rsid w:val="00B57B25"/>
    <w:rsid w:val="00B602A5"/>
    <w:rsid w:val="00B6547E"/>
    <w:rsid w:val="00B6680D"/>
    <w:rsid w:val="00B705D1"/>
    <w:rsid w:val="00B816BD"/>
    <w:rsid w:val="00B858A5"/>
    <w:rsid w:val="00B90B17"/>
    <w:rsid w:val="00B956EF"/>
    <w:rsid w:val="00BA275E"/>
    <w:rsid w:val="00BA3C31"/>
    <w:rsid w:val="00BB7F0B"/>
    <w:rsid w:val="00BC4C13"/>
    <w:rsid w:val="00BD40CD"/>
    <w:rsid w:val="00BE45D3"/>
    <w:rsid w:val="00BE62A0"/>
    <w:rsid w:val="00BE6402"/>
    <w:rsid w:val="00C01CCE"/>
    <w:rsid w:val="00C10339"/>
    <w:rsid w:val="00C1139E"/>
    <w:rsid w:val="00C14E69"/>
    <w:rsid w:val="00C2091D"/>
    <w:rsid w:val="00C21C7E"/>
    <w:rsid w:val="00C23DDC"/>
    <w:rsid w:val="00C250F6"/>
    <w:rsid w:val="00C34C73"/>
    <w:rsid w:val="00C51DD5"/>
    <w:rsid w:val="00C63536"/>
    <w:rsid w:val="00C70137"/>
    <w:rsid w:val="00C73056"/>
    <w:rsid w:val="00C807F2"/>
    <w:rsid w:val="00C87A41"/>
    <w:rsid w:val="00CA2D7B"/>
    <w:rsid w:val="00CA4C01"/>
    <w:rsid w:val="00CA7024"/>
    <w:rsid w:val="00CA7184"/>
    <w:rsid w:val="00CB4196"/>
    <w:rsid w:val="00CD1CF8"/>
    <w:rsid w:val="00CD645F"/>
    <w:rsid w:val="00CD7ED8"/>
    <w:rsid w:val="00CE1695"/>
    <w:rsid w:val="00CE4938"/>
    <w:rsid w:val="00CE4BCD"/>
    <w:rsid w:val="00CF0B20"/>
    <w:rsid w:val="00D11C34"/>
    <w:rsid w:val="00D1371A"/>
    <w:rsid w:val="00D1382C"/>
    <w:rsid w:val="00D20FA1"/>
    <w:rsid w:val="00D22866"/>
    <w:rsid w:val="00D4606E"/>
    <w:rsid w:val="00D46086"/>
    <w:rsid w:val="00D467FD"/>
    <w:rsid w:val="00D54F87"/>
    <w:rsid w:val="00D607FB"/>
    <w:rsid w:val="00D66867"/>
    <w:rsid w:val="00D70458"/>
    <w:rsid w:val="00D710F0"/>
    <w:rsid w:val="00D91CC6"/>
    <w:rsid w:val="00DA02D3"/>
    <w:rsid w:val="00DA1349"/>
    <w:rsid w:val="00DA6401"/>
    <w:rsid w:val="00DA6CFA"/>
    <w:rsid w:val="00DB2037"/>
    <w:rsid w:val="00DB23D2"/>
    <w:rsid w:val="00DB529B"/>
    <w:rsid w:val="00DB6F3F"/>
    <w:rsid w:val="00DC60F3"/>
    <w:rsid w:val="00DC6420"/>
    <w:rsid w:val="00DD3F5F"/>
    <w:rsid w:val="00DE63EC"/>
    <w:rsid w:val="00DE655C"/>
    <w:rsid w:val="00E04057"/>
    <w:rsid w:val="00E046A4"/>
    <w:rsid w:val="00E05C86"/>
    <w:rsid w:val="00E154F5"/>
    <w:rsid w:val="00E21FAC"/>
    <w:rsid w:val="00E265C6"/>
    <w:rsid w:val="00E347D9"/>
    <w:rsid w:val="00E46B2E"/>
    <w:rsid w:val="00E47B26"/>
    <w:rsid w:val="00E503B6"/>
    <w:rsid w:val="00E516F3"/>
    <w:rsid w:val="00E53F7A"/>
    <w:rsid w:val="00E55D2C"/>
    <w:rsid w:val="00E72EAB"/>
    <w:rsid w:val="00E7690A"/>
    <w:rsid w:val="00E80AB0"/>
    <w:rsid w:val="00E90AB5"/>
    <w:rsid w:val="00E94A12"/>
    <w:rsid w:val="00E94F85"/>
    <w:rsid w:val="00EA2EEC"/>
    <w:rsid w:val="00EB0054"/>
    <w:rsid w:val="00EB41F3"/>
    <w:rsid w:val="00EB464F"/>
    <w:rsid w:val="00EB6517"/>
    <w:rsid w:val="00EC6FC5"/>
    <w:rsid w:val="00ED2F0B"/>
    <w:rsid w:val="00ED4ED8"/>
    <w:rsid w:val="00EE53C4"/>
    <w:rsid w:val="00EE638D"/>
    <w:rsid w:val="00EF3790"/>
    <w:rsid w:val="00EF58CE"/>
    <w:rsid w:val="00F10917"/>
    <w:rsid w:val="00F24F87"/>
    <w:rsid w:val="00F32A83"/>
    <w:rsid w:val="00F353A3"/>
    <w:rsid w:val="00F45A49"/>
    <w:rsid w:val="00F52107"/>
    <w:rsid w:val="00F54692"/>
    <w:rsid w:val="00F677D2"/>
    <w:rsid w:val="00F73B62"/>
    <w:rsid w:val="00F73DBD"/>
    <w:rsid w:val="00F742E1"/>
    <w:rsid w:val="00F74B42"/>
    <w:rsid w:val="00F80466"/>
    <w:rsid w:val="00F80B8D"/>
    <w:rsid w:val="00F82961"/>
    <w:rsid w:val="00F849CE"/>
    <w:rsid w:val="00F87263"/>
    <w:rsid w:val="00F87706"/>
    <w:rsid w:val="00F87EFB"/>
    <w:rsid w:val="00F930CE"/>
    <w:rsid w:val="00F96847"/>
    <w:rsid w:val="00FA592F"/>
    <w:rsid w:val="00FA61BE"/>
    <w:rsid w:val="00FB1C1A"/>
    <w:rsid w:val="00FB545C"/>
    <w:rsid w:val="00FB5689"/>
    <w:rsid w:val="00FB7DFA"/>
    <w:rsid w:val="00FC262A"/>
    <w:rsid w:val="00FC54A3"/>
    <w:rsid w:val="00FC5DC9"/>
    <w:rsid w:val="00FC76AE"/>
    <w:rsid w:val="00FD0C5B"/>
    <w:rsid w:val="00FD1875"/>
    <w:rsid w:val="00FE3304"/>
    <w:rsid w:val="00FF258B"/>
    <w:rsid w:val="00FF2C73"/>
    <w:rsid w:val="00FF3F96"/>
    <w:rsid w:val="00FF5193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02F60"/>
  <w15:docId w15:val="{C2E6A350-8807-4121-A997-4A2D704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49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/Figure Heading,En tête 1,List Paragraph1,Citation List,Bullets1,Resume Title,Graphic,Table of contents numbered,123 List Paragraph,Recommendation,List Paragraph11"/>
    <w:basedOn w:val="Normal"/>
    <w:link w:val="ListParagraphChar"/>
    <w:uiPriority w:val="34"/>
    <w:qFormat/>
    <w:rsid w:val="00F45A49"/>
    <w:pPr>
      <w:ind w:left="720"/>
    </w:pPr>
    <w:rPr>
      <w:rFonts w:cs="Times New Roman"/>
    </w:rPr>
  </w:style>
  <w:style w:type="paragraph" w:styleId="NoSpacing">
    <w:name w:val="No Spacing"/>
    <w:link w:val="NoSpacingChar"/>
    <w:uiPriority w:val="1"/>
    <w:qFormat/>
    <w:rsid w:val="00F45A49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A49"/>
    <w:rPr>
      <w:rFonts w:ascii="Times New Roman" w:hAnsi="Times New Roman"/>
      <w:sz w:val="24"/>
      <w:szCs w:val="24"/>
      <w:lang w:eastAsia="en-AU"/>
    </w:rPr>
  </w:style>
  <w:style w:type="paragraph" w:styleId="Title">
    <w:name w:val="Title"/>
    <w:basedOn w:val="Normal"/>
    <w:link w:val="TitleChar"/>
    <w:qFormat/>
    <w:rsid w:val="00F45A49"/>
    <w:pPr>
      <w:jc w:val="center"/>
    </w:pPr>
    <w:rPr>
      <w:rFonts w:eastAsia="Times New Roman" w:cs="Times New Roman"/>
      <w:b/>
      <w:sz w:val="2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F45A49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5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A49"/>
    <w:rPr>
      <w:rFonts w:ascii="Times New Roman" w:hAnsi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E6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D0C"/>
    <w:rPr>
      <w:rFonts w:ascii="Times New Roman" w:hAnsi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A26F30"/>
    <w:rPr>
      <w:rFonts w:eastAsia="Times New Roman" w:cs="Times New Roman"/>
      <w:sz w:val="12"/>
      <w:szCs w:val="12"/>
    </w:rPr>
  </w:style>
  <w:style w:type="character" w:customStyle="1" w:styleId="ListParagraphChar">
    <w:name w:val="List Paragraph Char"/>
    <w:aliases w:val="Table/Figure Heading Char,En tête 1 Char,List Paragraph1 Char,Citation List Char,Bullets1 Char,Resume Title Char,Graphic Char,Table of contents numbered Char,123 List Paragraph Char,Recommendation Char,List Paragraph11 Char"/>
    <w:basedOn w:val="DefaultParagraphFont"/>
    <w:link w:val="ListParagraph"/>
    <w:uiPriority w:val="34"/>
    <w:rsid w:val="003A71AD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2F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87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9AD"/>
    <w:rPr>
      <w:rFonts w:ascii="Times New Roman" w:hAnsi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9AD"/>
    <w:rPr>
      <w:rFonts w:ascii="Times New Roman" w:hAnsi="Times New Roman"/>
      <w:b/>
      <w:bCs/>
      <w:sz w:val="20"/>
      <w:szCs w:val="20"/>
      <w:lang w:eastAsia="en-AU"/>
    </w:rPr>
  </w:style>
  <w:style w:type="character" w:customStyle="1" w:styleId="fontstyle01">
    <w:name w:val="fontstyle01"/>
    <w:basedOn w:val="DefaultParagraphFont"/>
    <w:rsid w:val="00184C3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CB9"/>
    <w:rPr>
      <w:color w:val="0000FF" w:themeColor="hyperlink"/>
      <w:u w:val="single"/>
    </w:rPr>
  </w:style>
  <w:style w:type="paragraph" w:customStyle="1" w:styleId="rtejustify">
    <w:name w:val="rtejustify"/>
    <w:basedOn w:val="Normal"/>
    <w:rsid w:val="00DD3F5F"/>
    <w:pPr>
      <w:spacing w:before="100" w:beforeAutospacing="1" w:after="100" w:afterAutospacing="1"/>
    </w:pPr>
    <w:rPr>
      <w:rFonts w:eastAsia="Times New Roman" w:cs="Times New Roman"/>
      <w:lang w:val="pt-BR" w:eastAsia="pt-BR"/>
    </w:rPr>
  </w:style>
  <w:style w:type="paragraph" w:styleId="FootnoteText">
    <w:name w:val="footnote text"/>
    <w:basedOn w:val="Normal"/>
    <w:link w:val="FootnoteTextChar"/>
    <w:rsid w:val="0037090B"/>
    <w:rPr>
      <w:rFonts w:eastAsia="Times New Roman" w:cs="Times New Roman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3709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aliases w:val="SUPERS"/>
    <w:rsid w:val="0037090B"/>
    <w:rPr>
      <w:vertAlign w:val="superscript"/>
    </w:rPr>
  </w:style>
  <w:style w:type="character" w:styleId="Strong">
    <w:name w:val="Strong"/>
    <w:basedOn w:val="DefaultParagraphFont"/>
    <w:uiPriority w:val="22"/>
    <w:qFormat/>
    <w:rsid w:val="0037090B"/>
    <w:rPr>
      <w:b/>
      <w:bCs/>
    </w:rPr>
  </w:style>
  <w:style w:type="character" w:customStyle="1" w:styleId="e24kjd">
    <w:name w:val="e24kjd"/>
    <w:basedOn w:val="DefaultParagraphFont"/>
    <w:rsid w:val="001928B5"/>
  </w:style>
  <w:style w:type="table" w:styleId="TableGrid">
    <w:name w:val="Table Grid"/>
    <w:basedOn w:val="TableNormal"/>
    <w:uiPriority w:val="59"/>
    <w:rsid w:val="00FE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6402"/>
    <w:pPr>
      <w:jc w:val="left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941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6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7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5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9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05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9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1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2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2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63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20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96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45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28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51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76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03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76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2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62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66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56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31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1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85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92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27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22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8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3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57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72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39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64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B7E5-E99B-4F8C-B34C-1648F5B3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</dc:creator>
  <cp:lastModifiedBy>Solomone Fifita</cp:lastModifiedBy>
  <cp:revision>2</cp:revision>
  <cp:lastPrinted>2013-12-19T20:29:00Z</cp:lastPrinted>
  <dcterms:created xsi:type="dcterms:W3CDTF">2020-11-13T01:11:00Z</dcterms:created>
  <dcterms:modified xsi:type="dcterms:W3CDTF">2020-11-13T01:11:00Z</dcterms:modified>
</cp:coreProperties>
</file>