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D2FA" w14:textId="77777777" w:rsidR="00A5454C" w:rsidRDefault="00A5454C">
      <w:pPr>
        <w:pStyle w:val="BodyText"/>
        <w:spacing w:before="2"/>
        <w:rPr>
          <w:rFonts w:ascii="Times New Roman"/>
          <w:sz w:val="10"/>
        </w:rPr>
      </w:pPr>
    </w:p>
    <w:p w14:paraId="479736E1" w14:textId="0F212098" w:rsidR="00E2411D" w:rsidRDefault="00E2411D" w:rsidP="00E2411D">
      <w:pPr>
        <w:pStyle w:val="BodyText"/>
        <w:spacing w:before="9"/>
        <w:jc w:val="center"/>
        <w:rPr>
          <w:b/>
          <w:sz w:val="19"/>
        </w:rPr>
      </w:pPr>
    </w:p>
    <w:p w14:paraId="7B2A58A0" w14:textId="3B7610A5" w:rsidR="00FB0E46" w:rsidRPr="001F2A0D" w:rsidRDefault="00FB0E46" w:rsidP="00E2411D">
      <w:pPr>
        <w:pStyle w:val="BodyText"/>
        <w:spacing w:before="9"/>
        <w:jc w:val="center"/>
        <w:rPr>
          <w:b/>
          <w:color w:val="000000" w:themeColor="text1"/>
          <w:sz w:val="24"/>
          <w:szCs w:val="24"/>
          <w:u w:val="single"/>
        </w:rPr>
      </w:pPr>
      <w:r w:rsidRPr="001F2A0D">
        <w:rPr>
          <w:b/>
          <w:color w:val="000000" w:themeColor="text1"/>
          <w:sz w:val="24"/>
          <w:szCs w:val="24"/>
          <w:u w:val="single"/>
        </w:rPr>
        <w:t xml:space="preserve">Supporting COVID19 Recovering through Investments in Sustainable Energy </w:t>
      </w:r>
    </w:p>
    <w:p w14:paraId="743954CC" w14:textId="77777777" w:rsidR="00FB0E46" w:rsidRPr="001F2A0D" w:rsidRDefault="00FB0E46" w:rsidP="00E2411D">
      <w:pPr>
        <w:pStyle w:val="BodyText"/>
        <w:spacing w:before="9"/>
        <w:jc w:val="center"/>
        <w:rPr>
          <w:b/>
          <w:color w:val="000000" w:themeColor="text1"/>
          <w:sz w:val="24"/>
          <w:szCs w:val="24"/>
          <w:u w:val="single"/>
        </w:rPr>
      </w:pPr>
      <w:r w:rsidRPr="001F2A0D">
        <w:rPr>
          <w:b/>
          <w:color w:val="000000" w:themeColor="text1"/>
          <w:sz w:val="24"/>
          <w:szCs w:val="24"/>
          <w:u w:val="single"/>
        </w:rPr>
        <w:t>2</w:t>
      </w:r>
      <w:r w:rsidRPr="001F2A0D">
        <w:rPr>
          <w:b/>
          <w:color w:val="000000" w:themeColor="text1"/>
          <w:sz w:val="24"/>
          <w:szCs w:val="24"/>
          <w:u w:val="single"/>
          <w:vertAlign w:val="superscript"/>
        </w:rPr>
        <w:t>nd</w:t>
      </w:r>
      <w:r w:rsidRPr="001F2A0D">
        <w:rPr>
          <w:b/>
          <w:color w:val="000000" w:themeColor="text1"/>
          <w:sz w:val="24"/>
          <w:szCs w:val="24"/>
          <w:u w:val="single"/>
        </w:rPr>
        <w:t xml:space="preserve"> September </w:t>
      </w:r>
    </w:p>
    <w:p w14:paraId="04EC2C4E" w14:textId="3B694AFB" w:rsidR="00E2411D" w:rsidRPr="001F2A0D" w:rsidRDefault="00FB0E46" w:rsidP="00E2411D">
      <w:pPr>
        <w:pStyle w:val="BodyText"/>
        <w:spacing w:before="9"/>
        <w:jc w:val="center"/>
        <w:rPr>
          <w:b/>
          <w:color w:val="000000" w:themeColor="text1"/>
          <w:sz w:val="24"/>
          <w:szCs w:val="24"/>
          <w:u w:val="single"/>
        </w:rPr>
      </w:pPr>
      <w:r w:rsidRPr="001F2A0D">
        <w:rPr>
          <w:b/>
          <w:color w:val="000000" w:themeColor="text1"/>
          <w:sz w:val="24"/>
          <w:szCs w:val="24"/>
          <w:u w:val="single"/>
        </w:rPr>
        <w:t xml:space="preserve">Melanesian </w:t>
      </w:r>
      <w:proofErr w:type="gramStart"/>
      <w:r w:rsidRPr="001F2A0D">
        <w:rPr>
          <w:b/>
          <w:color w:val="000000" w:themeColor="text1"/>
          <w:sz w:val="24"/>
          <w:szCs w:val="24"/>
          <w:u w:val="single"/>
        </w:rPr>
        <w:t xml:space="preserve">Hotel, </w:t>
      </w:r>
      <w:r w:rsidR="00F87E1D" w:rsidRPr="001F2A0D">
        <w:rPr>
          <w:b/>
          <w:color w:val="000000" w:themeColor="text1"/>
          <w:sz w:val="24"/>
          <w:szCs w:val="24"/>
          <w:u w:val="single"/>
        </w:rPr>
        <w:t xml:space="preserve"> Port</w:t>
      </w:r>
      <w:proofErr w:type="gramEnd"/>
      <w:r w:rsidR="00F87E1D" w:rsidRPr="001F2A0D">
        <w:rPr>
          <w:b/>
          <w:color w:val="000000" w:themeColor="text1"/>
          <w:sz w:val="24"/>
          <w:szCs w:val="24"/>
          <w:u w:val="single"/>
        </w:rPr>
        <w:t xml:space="preserve"> Vila, Vanuatu</w:t>
      </w:r>
    </w:p>
    <w:p w14:paraId="220F54A4" w14:textId="737416AF" w:rsidR="00A5454C" w:rsidRDefault="006A4533" w:rsidP="00E2411D">
      <w:pPr>
        <w:pStyle w:val="BodyText"/>
        <w:spacing w:before="9"/>
        <w:jc w:val="center"/>
        <w:rPr>
          <w:b/>
          <w:sz w:val="19"/>
        </w:rPr>
      </w:pPr>
      <w:r>
        <w:rPr>
          <w:noProof/>
        </w:rPr>
        <mc:AlternateContent>
          <mc:Choice Requires="wps">
            <w:drawing>
              <wp:anchor distT="0" distB="0" distL="0" distR="0" simplePos="0" relativeHeight="487588352" behindDoc="1" locked="0" layoutInCell="1" allowOverlap="1" wp14:anchorId="46802DCD" wp14:editId="11B90872">
                <wp:simplePos x="0" y="0"/>
                <wp:positionH relativeFrom="page">
                  <wp:posOffset>3383915</wp:posOffset>
                </wp:positionH>
                <wp:positionV relativeFrom="paragraph">
                  <wp:posOffset>184150</wp:posOffset>
                </wp:positionV>
                <wp:extent cx="792480"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1270"/>
                        </a:xfrm>
                        <a:custGeom>
                          <a:avLst/>
                          <a:gdLst>
                            <a:gd name="T0" fmla="+- 0 5329 5329"/>
                            <a:gd name="T1" fmla="*/ T0 w 1248"/>
                            <a:gd name="T2" fmla="+- 0 6576 5329"/>
                            <a:gd name="T3" fmla="*/ T2 w 1248"/>
                          </a:gdLst>
                          <a:ahLst/>
                          <a:cxnLst>
                            <a:cxn ang="0">
                              <a:pos x="T1" y="0"/>
                            </a:cxn>
                            <a:cxn ang="0">
                              <a:pos x="T3" y="0"/>
                            </a:cxn>
                          </a:cxnLst>
                          <a:rect l="0" t="0" r="r" b="b"/>
                          <a:pathLst>
                            <a:path w="1248">
                              <a:moveTo>
                                <a:pt x="0" y="0"/>
                              </a:moveTo>
                              <a:lnTo>
                                <a:pt x="1247"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EE56" id="Freeform 7" o:spid="_x0000_s1026" style="position:absolute;margin-left:266.45pt;margin-top:14.5pt;width:62.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UtrAIAAL4FAAAOAAAAZHJzL2Uyb0RvYy54bWysVG1v0zAQ/o7Ef7D8EcTysm5dq6UT2hhC&#10;GjBp5Qe4jtNEOD5ju03Lr+fOSbuswBdEPlh27vzcc8+d7/pm12q2Vc43YAqenaWcKSOhbMy64N+W&#10;9++uOPNBmFJoMKrge+X5zeL1q+vOzlUONehSOYYgxs87W/A6BDtPEi9r1Qp/BlYZNFbgWhHw6NZJ&#10;6USH6K1O8jS9TDpwpXUglff496438kXEryolw9eq8iowXXDkFuLq4rqiNVlci/naCVs3cqAh/oFF&#10;KxqDQY9QdyIItnHNb1BtIx14qMKZhDaBqmqkijlgNll6ks1TLayKuaA43h5l8v8PVn7ZPjrWlAXP&#10;OTOixRLdO6VIcDYldTrr5+j0ZB8d5eftA8jvHg3JCwsdPPqwVfcZSkQRmwBRkV3lWrqJubJdFH5/&#10;FF7tApP4czrLJ1dYHommLJ/GsiRifrgqNz58VBBhxPbBh75qJe6i5uXAfIkQVauxgG/fsZRdnOez&#10;uAxVPrplB7c3CVumrGMZhj91Qj1GWJcX08s/Yp0f3AgrH2Eh//WBoagPpOXODKxxxwS9kjTKZMGT&#10;PEvkdtAHEdCJMvyLL8Y+9e3vDCEctv9p4zvOsPFXfbZWBGJGIWjLOpIfpaAfLWzVEqIpnBQOgzxb&#10;tRl74fXpC1a9GW9QAOyafhODEtdRZQ3cN1rH0moTqaTZbBK5eNBNSVai4916dasd2wp60/GjbBDt&#10;hZt1PtwJX/d+fu/p0KftYGPKGKhWovww7INodL9HKI26xw6npu5fwQrKPTa4g36I4NDDTQ3uJ2cd&#10;DpCC+x8b4RRn+pPBFzrLJhOaOPEwuZjmeHBjy2psEUYiVMEDx6ag7W3op9TGumZdY6QsKmHgPT6s&#10;qqEnEPn1rIYDDokoxDDQaAqNz9HreewufgEAAP//AwBQSwMEFAAGAAgAAAAhAMDPAjHhAAAACQEA&#10;AA8AAABkcnMvZG93bnJldi54bWxMj8FOwzAMhu9IvENkJG4sXUfbtTSdEBoSEkIa2xDXtPHaiiYp&#10;SbaVt8c7wdH2p9/fX64mPbATOt9bI2A+i4ChaazqTStgv3u+WwLzQRolB2tQwA96WFXXV6UslD2b&#10;dzxtQ8soxPhCCuhCGAvOfdOhln5mRzR0O1inZaDRtVw5eaZwPfA4ilKuZW/oQydHfOqw+doetQD3&#10;mr0cPuf3H+t8nX4vkk32tt/UQtzeTI8PwAJO4Q+Giz6pQ0VOtT0a5dkgIFnEOaEC4pw6EZAmWQas&#10;vixi4FXJ/zeofgEAAP//AwBQSwECLQAUAAYACAAAACEAtoM4kv4AAADhAQAAEwAAAAAAAAAAAAAA&#10;AAAAAAAAW0NvbnRlbnRfVHlwZXNdLnhtbFBLAQItABQABgAIAAAAIQA4/SH/1gAAAJQBAAALAAAA&#10;AAAAAAAAAAAAAC8BAABfcmVscy8ucmVsc1BLAQItABQABgAIAAAAIQCXT1UtrAIAAL4FAAAOAAAA&#10;AAAAAAAAAAAAAC4CAABkcnMvZTJvRG9jLnhtbFBLAQItABQABgAIAAAAIQDAzwIx4QAAAAkBAAAP&#10;AAAAAAAAAAAAAAAAAAYFAABkcnMvZG93bnJldi54bWxQSwUGAAAAAAQABADzAAAAFAYAAAAA&#10;" path="m,l1247,e" filled="f" strokeweight=".28317mm">
                <v:stroke dashstyle="3 1"/>
                <v:path arrowok="t" o:connecttype="custom" o:connectlocs="0,0;791845,0" o:connectangles="0,0"/>
                <w10:wrap type="topAndBottom" anchorx="page"/>
              </v:shape>
            </w:pict>
          </mc:Fallback>
        </mc:AlternateContent>
      </w:r>
    </w:p>
    <w:p w14:paraId="412ECE33" w14:textId="77777777" w:rsidR="00A5454C" w:rsidRDefault="00A5454C">
      <w:pPr>
        <w:pStyle w:val="BodyText"/>
        <w:spacing w:before="3"/>
        <w:rPr>
          <w:b/>
          <w:sz w:val="13"/>
        </w:rPr>
      </w:pPr>
    </w:p>
    <w:p w14:paraId="3BA96454" w14:textId="6009B4B8" w:rsidR="00A5454C" w:rsidRPr="00E2411D" w:rsidRDefault="000E0FA6" w:rsidP="001F2A0D">
      <w:pPr>
        <w:pStyle w:val="Title"/>
        <w:ind w:hanging="996"/>
        <w:jc w:val="left"/>
        <w:rPr>
          <w:sz w:val="24"/>
          <w:szCs w:val="24"/>
        </w:rPr>
      </w:pPr>
      <w:r>
        <w:rPr>
          <w:sz w:val="24"/>
          <w:szCs w:val="24"/>
        </w:rPr>
        <w:t>Background</w:t>
      </w:r>
    </w:p>
    <w:p w14:paraId="129966A9" w14:textId="6B016247" w:rsidR="006A4533" w:rsidRPr="00E2411D" w:rsidRDefault="006A4533" w:rsidP="00874D79">
      <w:pPr>
        <w:pStyle w:val="BodyText"/>
        <w:spacing w:before="100" w:beforeAutospacing="1" w:after="120"/>
        <w:ind w:left="100" w:right="111"/>
      </w:pPr>
      <w:r w:rsidRPr="00E2411D">
        <w:t xml:space="preserve">The Pacific Centre for Renewable Energy and Energy Efficiency (PCREEE) has been established to play a key role in promoting and supporting private sector investments in renewable energies (RE) and energy efficiency (EE) in the Pacific region. PCREEE is hosted by the Pacific Community (SPC) under the Geoscience Energy and Maritime (GEM) Division. The Centre receives key technical support from the United Nations Industrial Development </w:t>
      </w:r>
      <w:proofErr w:type="spellStart"/>
      <w:r w:rsidRPr="00E2411D">
        <w:t>Organisation</w:t>
      </w:r>
      <w:proofErr w:type="spellEnd"/>
      <w:r w:rsidRPr="00E2411D">
        <w:t xml:space="preserve"> (UNIDO) and financial assistance from the Austrian Development Agency (ADA) and the Norwegian government. PCREEE is a member of the Global Network of Regional Sustainable Energy </w:t>
      </w:r>
      <w:proofErr w:type="spellStart"/>
      <w:r w:rsidRPr="00E2411D">
        <w:t>Centres</w:t>
      </w:r>
      <w:proofErr w:type="spellEnd"/>
      <w:r w:rsidRPr="00E2411D">
        <w:t xml:space="preserve"> (GN-SEC) and focuses on the up-scaling and replication of national efforts, support to the private sector and industry and targeted Renewable Energy and Energy Efficiency (RE&amp;EE) Programmes. </w:t>
      </w:r>
    </w:p>
    <w:p w14:paraId="4BD593DA" w14:textId="2F241BFB" w:rsidR="00944372" w:rsidRDefault="00B24525" w:rsidP="00874D79">
      <w:pPr>
        <w:widowControl/>
        <w:adjustRightInd w:val="0"/>
        <w:spacing w:before="100" w:beforeAutospacing="1" w:after="120"/>
        <w:rPr>
          <w:rFonts w:eastAsiaTheme="minorHAnsi"/>
        </w:rPr>
      </w:pPr>
      <w:r>
        <w:rPr>
          <w:rFonts w:eastAsiaTheme="minorHAnsi"/>
        </w:rPr>
        <w:t xml:space="preserve">PCREEE has identified </w:t>
      </w:r>
      <w:r w:rsidR="00944372">
        <w:rPr>
          <w:rFonts w:eastAsiaTheme="minorHAnsi"/>
        </w:rPr>
        <w:t>four (4) Programmes that</w:t>
      </w:r>
      <w:r>
        <w:rPr>
          <w:rFonts w:eastAsiaTheme="minorHAnsi"/>
        </w:rPr>
        <w:t xml:space="preserve"> </w:t>
      </w:r>
      <w:r w:rsidR="00944372">
        <w:rPr>
          <w:rFonts w:eastAsiaTheme="minorHAnsi"/>
        </w:rPr>
        <w:t>will be the focus of PCREEE´s actions in the region, including:</w:t>
      </w:r>
    </w:p>
    <w:p w14:paraId="374C4BE6" w14:textId="4B359233" w:rsidR="00944372" w:rsidRPr="00B24525" w:rsidRDefault="00944372" w:rsidP="00874D79">
      <w:pPr>
        <w:pStyle w:val="ListParagraph"/>
        <w:widowControl/>
        <w:numPr>
          <w:ilvl w:val="0"/>
          <w:numId w:val="4"/>
        </w:numPr>
        <w:adjustRightInd w:val="0"/>
        <w:spacing w:before="100" w:beforeAutospacing="1" w:after="120"/>
        <w:rPr>
          <w:rFonts w:eastAsiaTheme="minorHAnsi"/>
        </w:rPr>
      </w:pPr>
      <w:r w:rsidRPr="00FD5DCA">
        <w:rPr>
          <w:rFonts w:eastAsiaTheme="minorHAnsi"/>
          <w:b/>
          <w:bCs/>
        </w:rPr>
        <w:t>RE&amp;EE Business Start-Up and Entrepreneurship Support</w:t>
      </w:r>
      <w:r w:rsidRPr="00B24525">
        <w:rPr>
          <w:rFonts w:eastAsiaTheme="minorHAnsi"/>
        </w:rPr>
        <w:t>, including differentiated support to entrepreneurial</w:t>
      </w:r>
      <w:r w:rsidR="00B24525" w:rsidRPr="00B24525">
        <w:rPr>
          <w:rFonts w:eastAsiaTheme="minorHAnsi"/>
        </w:rPr>
        <w:t xml:space="preserve"> </w:t>
      </w:r>
      <w:r w:rsidRPr="00B24525">
        <w:rPr>
          <w:rFonts w:eastAsiaTheme="minorHAnsi"/>
        </w:rPr>
        <w:t>RE&amp;EE businesses across the enterprise development life cycle (start-up, early-stage, growth,</w:t>
      </w:r>
      <w:r w:rsidR="00B24525" w:rsidRPr="00B24525">
        <w:rPr>
          <w:rFonts w:eastAsiaTheme="minorHAnsi"/>
        </w:rPr>
        <w:t xml:space="preserve"> </w:t>
      </w:r>
      <w:r w:rsidRPr="00B24525">
        <w:rPr>
          <w:rFonts w:eastAsiaTheme="minorHAnsi"/>
        </w:rPr>
        <w:t>and maturity)</w:t>
      </w:r>
      <w:r w:rsidR="00B24525">
        <w:rPr>
          <w:rFonts w:eastAsiaTheme="minorHAnsi"/>
        </w:rPr>
        <w:t>;</w:t>
      </w:r>
    </w:p>
    <w:p w14:paraId="07F47AE4" w14:textId="03C6F393" w:rsidR="00944372" w:rsidRPr="00B24525" w:rsidRDefault="00944372" w:rsidP="00874D79">
      <w:pPr>
        <w:pStyle w:val="ListParagraph"/>
        <w:widowControl/>
        <w:numPr>
          <w:ilvl w:val="0"/>
          <w:numId w:val="4"/>
        </w:numPr>
        <w:adjustRightInd w:val="0"/>
        <w:spacing w:before="100" w:beforeAutospacing="1" w:after="120"/>
        <w:rPr>
          <w:rFonts w:eastAsiaTheme="minorHAnsi"/>
        </w:rPr>
      </w:pPr>
      <w:r w:rsidRPr="00B24525">
        <w:rPr>
          <w:rFonts w:eastAsiaTheme="minorHAnsi"/>
        </w:rPr>
        <w:t xml:space="preserve">A regional </w:t>
      </w:r>
      <w:r w:rsidRPr="00FD5DCA">
        <w:rPr>
          <w:rFonts w:eastAsiaTheme="minorHAnsi"/>
          <w:b/>
          <w:bCs/>
        </w:rPr>
        <w:t>E-vehicles (EV) Readiness Program</w:t>
      </w:r>
      <w:r w:rsidRPr="00B24525">
        <w:rPr>
          <w:rFonts w:eastAsiaTheme="minorHAnsi"/>
        </w:rPr>
        <w:t xml:space="preserve"> aiming to prepare the Pacific Island Countries and Territories</w:t>
      </w:r>
      <w:r w:rsidR="00B24525" w:rsidRPr="00B24525">
        <w:rPr>
          <w:rFonts w:eastAsiaTheme="minorHAnsi"/>
        </w:rPr>
        <w:t xml:space="preserve"> </w:t>
      </w:r>
      <w:r w:rsidRPr="00B24525">
        <w:rPr>
          <w:rFonts w:eastAsiaTheme="minorHAnsi"/>
        </w:rPr>
        <w:t>(PICTs) for the eventual uptake of EV technology by developing a stable base of capability and</w:t>
      </w:r>
      <w:r w:rsidR="00B24525" w:rsidRPr="00B24525">
        <w:rPr>
          <w:rFonts w:eastAsiaTheme="minorHAnsi"/>
        </w:rPr>
        <w:t xml:space="preserve"> </w:t>
      </w:r>
      <w:r w:rsidRPr="00B24525">
        <w:rPr>
          <w:rFonts w:eastAsiaTheme="minorHAnsi"/>
        </w:rPr>
        <w:t>capacity in the region</w:t>
      </w:r>
      <w:r w:rsidR="00B24525">
        <w:rPr>
          <w:rFonts w:eastAsiaTheme="minorHAnsi"/>
        </w:rPr>
        <w:t>;</w:t>
      </w:r>
    </w:p>
    <w:p w14:paraId="3C529916" w14:textId="2228C4C8" w:rsidR="00944372" w:rsidRPr="00B24525" w:rsidRDefault="00944372" w:rsidP="00874D79">
      <w:pPr>
        <w:pStyle w:val="ListParagraph"/>
        <w:widowControl/>
        <w:numPr>
          <w:ilvl w:val="0"/>
          <w:numId w:val="4"/>
        </w:numPr>
        <w:adjustRightInd w:val="0"/>
        <w:spacing w:before="100" w:beforeAutospacing="1" w:after="120"/>
        <w:rPr>
          <w:rFonts w:eastAsiaTheme="minorHAnsi"/>
        </w:rPr>
      </w:pPr>
      <w:r w:rsidRPr="00FD5DCA">
        <w:rPr>
          <w:rFonts w:eastAsiaTheme="minorHAnsi"/>
          <w:b/>
          <w:bCs/>
        </w:rPr>
        <w:t>A RE Mini-grid Programme for the PICTs (REMPP)</w:t>
      </w:r>
      <w:r w:rsidRPr="00B24525">
        <w:rPr>
          <w:rFonts w:eastAsiaTheme="minorHAnsi"/>
        </w:rPr>
        <w:t xml:space="preserve"> designed for PCREEE to overcome identified gaps in</w:t>
      </w:r>
      <w:r w:rsidR="00B24525" w:rsidRPr="00B24525">
        <w:rPr>
          <w:rFonts w:eastAsiaTheme="minorHAnsi"/>
        </w:rPr>
        <w:t xml:space="preserve"> </w:t>
      </w:r>
      <w:r w:rsidRPr="00B24525">
        <w:rPr>
          <w:rFonts w:eastAsiaTheme="minorHAnsi"/>
        </w:rPr>
        <w:t>the market to promote mini-grid renewable energy development. The programme includes measures to</w:t>
      </w:r>
      <w:r w:rsidR="00B24525" w:rsidRPr="00B24525">
        <w:rPr>
          <w:rFonts w:eastAsiaTheme="minorHAnsi"/>
        </w:rPr>
        <w:t xml:space="preserve"> </w:t>
      </w:r>
      <w:r w:rsidRPr="00B24525">
        <w:rPr>
          <w:rFonts w:eastAsiaTheme="minorHAnsi"/>
        </w:rPr>
        <w:t>address market intelligence, capacity building, and Public and Private Partnerships and guidelines and</w:t>
      </w:r>
      <w:r w:rsidR="00B24525" w:rsidRPr="00B24525">
        <w:rPr>
          <w:rFonts w:eastAsiaTheme="minorHAnsi"/>
        </w:rPr>
        <w:t xml:space="preserve"> </w:t>
      </w:r>
      <w:r w:rsidRPr="00B24525">
        <w:rPr>
          <w:rFonts w:eastAsiaTheme="minorHAnsi"/>
        </w:rPr>
        <w:t>an Operation and Maintenance (O&amp;M) Platform</w:t>
      </w:r>
      <w:r w:rsidR="00B24525">
        <w:rPr>
          <w:rFonts w:eastAsiaTheme="minorHAnsi"/>
        </w:rPr>
        <w:t>; and</w:t>
      </w:r>
    </w:p>
    <w:p w14:paraId="758461E7" w14:textId="17522C1A" w:rsidR="002D5A84" w:rsidRPr="000C2DFC" w:rsidRDefault="00944372" w:rsidP="00FF2BDE">
      <w:pPr>
        <w:pStyle w:val="ListParagraph"/>
        <w:widowControl/>
        <w:numPr>
          <w:ilvl w:val="0"/>
          <w:numId w:val="4"/>
        </w:numPr>
        <w:adjustRightInd w:val="0"/>
        <w:spacing w:before="100" w:beforeAutospacing="1" w:after="120"/>
      </w:pPr>
      <w:r w:rsidRPr="00FD5DCA">
        <w:rPr>
          <w:rFonts w:eastAsiaTheme="minorHAnsi"/>
          <w:b/>
          <w:bCs/>
        </w:rPr>
        <w:t>Energy efficiency investments</w:t>
      </w:r>
      <w:r w:rsidRPr="00B24525">
        <w:rPr>
          <w:rFonts w:eastAsiaTheme="minorHAnsi"/>
        </w:rPr>
        <w:t xml:space="preserve"> aimed at enhancing the competitiveness of manufacturing industries in</w:t>
      </w:r>
      <w:r w:rsidR="00B24525" w:rsidRPr="00B24525">
        <w:rPr>
          <w:rFonts w:eastAsiaTheme="minorHAnsi"/>
        </w:rPr>
        <w:t xml:space="preserve"> </w:t>
      </w:r>
      <w:r w:rsidRPr="00B24525">
        <w:rPr>
          <w:rFonts w:eastAsiaTheme="minorHAnsi"/>
        </w:rPr>
        <w:t>the Pacific Region by improving and harmonizing national policies and regulatory frameworks and institutional</w:t>
      </w:r>
      <w:r w:rsidR="00B24525" w:rsidRPr="00B24525">
        <w:rPr>
          <w:rFonts w:eastAsiaTheme="minorHAnsi"/>
        </w:rPr>
        <w:t xml:space="preserve"> </w:t>
      </w:r>
      <w:r w:rsidRPr="00B24525">
        <w:rPr>
          <w:rFonts w:eastAsiaTheme="minorHAnsi"/>
        </w:rPr>
        <w:t>capacity building for domestic, industrial, and commercial EE and the implementation of energy</w:t>
      </w:r>
      <w:r w:rsidR="00B24525" w:rsidRPr="00B24525">
        <w:rPr>
          <w:rFonts w:eastAsiaTheme="minorHAnsi"/>
        </w:rPr>
        <w:t xml:space="preserve"> </w:t>
      </w:r>
      <w:r w:rsidRPr="00B24525">
        <w:rPr>
          <w:rFonts w:eastAsiaTheme="minorHAnsi"/>
        </w:rPr>
        <w:t>management systems.</w:t>
      </w:r>
    </w:p>
    <w:p w14:paraId="48057560" w14:textId="2470A1AC" w:rsidR="006316B2" w:rsidRDefault="006316B2" w:rsidP="006316B2">
      <w:pPr>
        <w:jc w:val="both"/>
        <w:rPr>
          <w:rFonts w:ascii="Times New Roman" w:hAnsi="Times New Roman" w:cs="Times New Roman"/>
          <w:iCs/>
          <w:sz w:val="24"/>
          <w:szCs w:val="24"/>
        </w:rPr>
      </w:pPr>
      <w:r w:rsidRPr="00E615D1">
        <w:rPr>
          <w:rFonts w:ascii="Times New Roman" w:hAnsi="Times New Roman" w:cs="Times New Roman"/>
          <w:sz w:val="24"/>
          <w:szCs w:val="24"/>
        </w:rPr>
        <w:t xml:space="preserve">The Department of Energy (DoE), through the Ministry of Climate Change and Natural Disasters (MoCC) is the energy sector focal point in Vanuatu. </w:t>
      </w:r>
      <w:r w:rsidRPr="00E615D1">
        <w:rPr>
          <w:rFonts w:ascii="Times New Roman" w:hAnsi="Times New Roman" w:cs="Times New Roman"/>
          <w:iCs/>
          <w:sz w:val="24"/>
          <w:szCs w:val="24"/>
        </w:rPr>
        <w:t>The National Energy Road Map (NERM) 2016-2030 which contains the energy targets and policies provides guide on how energy programmes should be delivered. The NERM identifies five priorit</w:t>
      </w:r>
      <w:r w:rsidR="009A0D1D">
        <w:rPr>
          <w:rFonts w:ascii="Times New Roman" w:hAnsi="Times New Roman" w:cs="Times New Roman"/>
          <w:iCs/>
          <w:sz w:val="24"/>
          <w:szCs w:val="24"/>
        </w:rPr>
        <w:t>ies</w:t>
      </w:r>
      <w:r w:rsidRPr="00E615D1">
        <w:rPr>
          <w:rFonts w:ascii="Times New Roman" w:hAnsi="Times New Roman" w:cs="Times New Roman"/>
          <w:iCs/>
          <w:sz w:val="24"/>
          <w:szCs w:val="24"/>
        </w:rPr>
        <w:t xml:space="preserve"> of the energy sector which are; access, petroleum supply, affordability, energy security and climate change. It sets out objectives, targets and actions to achieve these priorities and contribute to the vision of the NERM.  The NERM also has an Implementation Plan with key activities aiming at achieving the targets of the NERM</w:t>
      </w:r>
      <w:r w:rsidR="009A0D1D">
        <w:rPr>
          <w:rFonts w:ascii="Times New Roman" w:hAnsi="Times New Roman" w:cs="Times New Roman"/>
          <w:iCs/>
          <w:sz w:val="24"/>
          <w:szCs w:val="24"/>
        </w:rPr>
        <w:t xml:space="preserve">. </w:t>
      </w:r>
    </w:p>
    <w:p w14:paraId="490A2212" w14:textId="0FF6FB76" w:rsidR="006316B2" w:rsidRDefault="006316B2" w:rsidP="006316B2">
      <w:pPr>
        <w:jc w:val="both"/>
        <w:rPr>
          <w:rFonts w:ascii="Times New Roman" w:hAnsi="Times New Roman" w:cs="Times New Roman"/>
          <w:iCs/>
          <w:sz w:val="24"/>
          <w:szCs w:val="24"/>
        </w:rPr>
      </w:pPr>
    </w:p>
    <w:p w14:paraId="11198548" w14:textId="526250DB" w:rsidR="009A0D1D" w:rsidRDefault="00870030" w:rsidP="006316B2">
      <w:pPr>
        <w:jc w:val="both"/>
        <w:rPr>
          <w:rFonts w:ascii="Times New Roman" w:hAnsi="Times New Roman" w:cs="Times New Roman"/>
          <w:iCs/>
          <w:sz w:val="24"/>
          <w:szCs w:val="24"/>
        </w:rPr>
      </w:pPr>
      <w:r>
        <w:rPr>
          <w:rFonts w:ascii="Times New Roman" w:hAnsi="Times New Roman" w:cs="Times New Roman"/>
          <w:iCs/>
          <w:sz w:val="24"/>
          <w:szCs w:val="24"/>
        </w:rPr>
        <w:t xml:space="preserve">Vanuatu is blessed with </w:t>
      </w:r>
      <w:r w:rsidR="00E848A4">
        <w:rPr>
          <w:rFonts w:ascii="Times New Roman" w:hAnsi="Times New Roman" w:cs="Times New Roman"/>
          <w:iCs/>
          <w:sz w:val="24"/>
          <w:szCs w:val="24"/>
        </w:rPr>
        <w:t xml:space="preserve">vast renewable energy potential including solar, hydropower, geothermal, tidal, wind and biomass. </w:t>
      </w:r>
      <w:r w:rsidR="00484F1A">
        <w:rPr>
          <w:rFonts w:ascii="Times New Roman" w:hAnsi="Times New Roman" w:cs="Times New Roman"/>
          <w:iCs/>
          <w:sz w:val="24"/>
          <w:szCs w:val="24"/>
        </w:rPr>
        <w:t xml:space="preserve">These RE potentials are however untapped. </w:t>
      </w:r>
      <w:r w:rsidR="009A0D1D">
        <w:rPr>
          <w:rFonts w:ascii="Times New Roman" w:hAnsi="Times New Roman" w:cs="Times New Roman"/>
          <w:iCs/>
          <w:sz w:val="24"/>
          <w:szCs w:val="24"/>
        </w:rPr>
        <w:t>At present, access to electricity is still considered very low</w:t>
      </w:r>
      <w:r w:rsidR="008B1808">
        <w:rPr>
          <w:rFonts w:ascii="Times New Roman" w:hAnsi="Times New Roman" w:cs="Times New Roman"/>
          <w:iCs/>
          <w:sz w:val="24"/>
          <w:szCs w:val="24"/>
        </w:rPr>
        <w:t xml:space="preserve">. </w:t>
      </w:r>
      <w:r w:rsidR="00484F1A">
        <w:rPr>
          <w:rFonts w:ascii="Times New Roman" w:hAnsi="Times New Roman" w:cs="Times New Roman"/>
          <w:iCs/>
          <w:sz w:val="24"/>
          <w:szCs w:val="24"/>
        </w:rPr>
        <w:t>With a growing population of 300,000 people, o</w:t>
      </w:r>
      <w:r>
        <w:rPr>
          <w:rFonts w:ascii="Times New Roman" w:hAnsi="Times New Roman" w:cs="Times New Roman"/>
          <w:iCs/>
          <w:sz w:val="24"/>
          <w:szCs w:val="24"/>
        </w:rPr>
        <w:t xml:space="preserve">nly less than 30% of </w:t>
      </w:r>
      <w:r w:rsidR="00484F1A">
        <w:rPr>
          <w:rFonts w:ascii="Times New Roman" w:hAnsi="Times New Roman" w:cs="Times New Roman"/>
          <w:iCs/>
          <w:sz w:val="24"/>
          <w:szCs w:val="24"/>
        </w:rPr>
        <w:t xml:space="preserve">them </w:t>
      </w:r>
      <w:r>
        <w:rPr>
          <w:rFonts w:ascii="Times New Roman" w:hAnsi="Times New Roman" w:cs="Times New Roman"/>
          <w:iCs/>
          <w:sz w:val="24"/>
          <w:szCs w:val="24"/>
        </w:rPr>
        <w:t xml:space="preserve">are connected to </w:t>
      </w:r>
      <w:r w:rsidR="00484F1A">
        <w:rPr>
          <w:rFonts w:ascii="Times New Roman" w:hAnsi="Times New Roman" w:cs="Times New Roman"/>
          <w:iCs/>
          <w:sz w:val="24"/>
          <w:szCs w:val="24"/>
        </w:rPr>
        <w:t xml:space="preserve">the </w:t>
      </w:r>
      <w:r>
        <w:rPr>
          <w:rFonts w:ascii="Times New Roman" w:hAnsi="Times New Roman" w:cs="Times New Roman"/>
          <w:iCs/>
          <w:sz w:val="24"/>
          <w:szCs w:val="24"/>
        </w:rPr>
        <w:t>electricity</w:t>
      </w:r>
      <w:r w:rsidR="00484F1A">
        <w:rPr>
          <w:rFonts w:ascii="Times New Roman" w:hAnsi="Times New Roman" w:cs="Times New Roman"/>
          <w:iCs/>
          <w:sz w:val="24"/>
          <w:szCs w:val="24"/>
        </w:rPr>
        <w:t xml:space="preserve"> grid</w:t>
      </w:r>
      <w:r>
        <w:rPr>
          <w:rFonts w:ascii="Times New Roman" w:hAnsi="Times New Roman" w:cs="Times New Roman"/>
          <w:iCs/>
          <w:sz w:val="24"/>
          <w:szCs w:val="24"/>
        </w:rPr>
        <w:t xml:space="preserve">. Most people are connected to solar PV systems providing lighting and basic mobile charging. </w:t>
      </w:r>
    </w:p>
    <w:p w14:paraId="33F336D2" w14:textId="77777777" w:rsidR="00484F1A" w:rsidRDefault="00484F1A" w:rsidP="006316B2">
      <w:pPr>
        <w:jc w:val="both"/>
        <w:rPr>
          <w:rFonts w:ascii="Times New Roman" w:hAnsi="Times New Roman" w:cs="Times New Roman"/>
          <w:iCs/>
          <w:sz w:val="24"/>
          <w:szCs w:val="24"/>
        </w:rPr>
      </w:pPr>
    </w:p>
    <w:p w14:paraId="51C8D25A" w14:textId="10EC2528" w:rsidR="006316B2" w:rsidRPr="00E615D1" w:rsidRDefault="006316B2" w:rsidP="00E615D1">
      <w:pPr>
        <w:jc w:val="both"/>
        <w:rPr>
          <w:rFonts w:ascii="Times New Roman" w:hAnsi="Times New Roman" w:cs="Times New Roman"/>
          <w:sz w:val="24"/>
          <w:szCs w:val="24"/>
          <w:lang w:val="en-GB"/>
        </w:rPr>
      </w:pPr>
      <w:r>
        <w:rPr>
          <w:rFonts w:ascii="Times New Roman" w:hAnsi="Times New Roman" w:cs="Times New Roman"/>
          <w:iCs/>
          <w:sz w:val="24"/>
          <w:szCs w:val="24"/>
        </w:rPr>
        <w:t>The Utilities Regulatory Authority (URA) of Vanuatu was established in 2008 by an Act of Parliament and is the economic regulator for electricity and water service</w:t>
      </w:r>
      <w:r w:rsidR="00F349B0">
        <w:rPr>
          <w:rFonts w:ascii="Times New Roman" w:hAnsi="Times New Roman" w:cs="Times New Roman"/>
          <w:iCs/>
          <w:sz w:val="24"/>
          <w:szCs w:val="24"/>
        </w:rPr>
        <w:t xml:space="preserve"> providers throughout </w:t>
      </w:r>
      <w:r w:rsidR="00F349B0">
        <w:rPr>
          <w:rFonts w:ascii="Times New Roman" w:hAnsi="Times New Roman" w:cs="Times New Roman"/>
          <w:iCs/>
          <w:sz w:val="24"/>
          <w:szCs w:val="24"/>
        </w:rPr>
        <w:lastRenderedPageBreak/>
        <w:t xml:space="preserve">Vanuatu. The Authority is responsible for ensuring that maximum access to related services is attained, services are safe, reliable and affordable and that the long-term interest of customers are protected. </w:t>
      </w:r>
    </w:p>
    <w:p w14:paraId="37821D3E" w14:textId="56D99038" w:rsidR="002B0C5A" w:rsidRDefault="00484F1A" w:rsidP="000C2DFC">
      <w:pPr>
        <w:widowControl/>
        <w:adjustRightInd w:val="0"/>
        <w:spacing w:before="100" w:beforeAutospacing="1" w:after="120"/>
      </w:pPr>
      <w:r>
        <w:t>The low access to electricity, the untapped renewable</w:t>
      </w:r>
      <w:r w:rsidR="002B0C5A">
        <w:t xml:space="preserve"> energy resources and the large population presents</w:t>
      </w:r>
      <w:r w:rsidR="00071E09">
        <w:t xml:space="preserve"> a huge challenge in Vanuatu’s effort to fight the covid19 pandemic</w:t>
      </w:r>
      <w:r w:rsidR="00457FF1">
        <w:t xml:space="preserve"> and other natural disasters</w:t>
      </w:r>
      <w:r w:rsidR="00071E09">
        <w:t>. On the flip side of it, the situation also presents</w:t>
      </w:r>
      <w:r w:rsidR="002B0C5A">
        <w:t xml:space="preserve"> great investment opportunities in the sustainable energy </w:t>
      </w:r>
      <w:r w:rsidR="00071E09">
        <w:t>market for Vanuatu</w:t>
      </w:r>
      <w:r w:rsidR="002B0C5A">
        <w:t xml:space="preserve">. </w:t>
      </w:r>
    </w:p>
    <w:p w14:paraId="2F084164" w14:textId="43E3930E" w:rsidR="00A914F6" w:rsidRDefault="005619B9" w:rsidP="000C2DFC">
      <w:pPr>
        <w:widowControl/>
        <w:adjustRightInd w:val="0"/>
        <w:spacing w:before="100" w:beforeAutospacing="1" w:after="120"/>
      </w:pPr>
      <w:r>
        <w:t xml:space="preserve">In September 2019, PCREEE and the Department of Energy </w:t>
      </w:r>
      <w:r w:rsidR="002E7426">
        <w:t>jointly organized</w:t>
      </w:r>
      <w:r>
        <w:t xml:space="preserve"> a</w:t>
      </w:r>
      <w:r w:rsidR="00F8740D">
        <w:t xml:space="preserve"> National</w:t>
      </w:r>
      <w:r>
        <w:t xml:space="preserve"> Energy Dialogue</w:t>
      </w:r>
      <w:r w:rsidR="00F8740D">
        <w:t xml:space="preserve"> (NED)</w:t>
      </w:r>
      <w:r>
        <w:t xml:space="preserve"> w</w:t>
      </w:r>
      <w:r w:rsidR="00F8740D">
        <w:t>here the meeting took stock of the status of the NERM, progress, challenges and opportunities. Thereafter PCREEE supported DoE to set-up the Sustainable Energy Association of Vanuatu (SEAV)</w:t>
      </w:r>
      <w:r w:rsidR="00A914F6">
        <w:t xml:space="preserve"> by developing the SEAV Constitution and convened the first Annual General Meeting (AGM) to elect the office bearers. </w:t>
      </w:r>
    </w:p>
    <w:p w14:paraId="13557F2C" w14:textId="56969F78" w:rsidR="00F8740D" w:rsidRDefault="00A914F6" w:rsidP="000C2DFC">
      <w:pPr>
        <w:widowControl/>
        <w:adjustRightInd w:val="0"/>
        <w:spacing w:before="100" w:beforeAutospacing="1" w:after="120"/>
      </w:pPr>
      <w:r>
        <w:t xml:space="preserve">One of the important recommendations that transpired out of the NED is the need to organize a </w:t>
      </w:r>
      <w:r w:rsidR="006E0161">
        <w:t xml:space="preserve">National Investment Forum (NIF) where project developers and investors can meet and discuss priority projects to achieve the NERM targets. The </w:t>
      </w:r>
      <w:r w:rsidR="00D47C92">
        <w:t>NIF</w:t>
      </w:r>
      <w:r w:rsidR="006E0161">
        <w:t xml:space="preserve"> will also create a platform where the Government can </w:t>
      </w:r>
      <w:r w:rsidR="00D47C92">
        <w:t xml:space="preserve">listen and </w:t>
      </w:r>
      <w:r w:rsidR="006E0161">
        <w:t xml:space="preserve">understand </w:t>
      </w:r>
      <w:r w:rsidR="0080312B">
        <w:t xml:space="preserve">from the project developers and investors </w:t>
      </w:r>
      <w:r w:rsidR="006E0161">
        <w:t xml:space="preserve">the barriers </w:t>
      </w:r>
      <w:r w:rsidR="0080312B">
        <w:t>to accelerate SE investments</w:t>
      </w:r>
      <w:r w:rsidR="006E0161">
        <w:t xml:space="preserve"> </w:t>
      </w:r>
      <w:r w:rsidR="0080312B">
        <w:t>in the country.</w:t>
      </w:r>
    </w:p>
    <w:p w14:paraId="76774E30" w14:textId="3F4C272B" w:rsidR="00FF2BDE" w:rsidRDefault="00B4759F" w:rsidP="000C2DFC">
      <w:pPr>
        <w:widowControl/>
        <w:adjustRightInd w:val="0"/>
        <w:spacing w:before="100" w:beforeAutospacing="1" w:after="120"/>
      </w:pPr>
      <w:r>
        <w:t>Therefore, i</w:t>
      </w:r>
      <w:r w:rsidR="00F87E1D">
        <w:t>n</w:t>
      </w:r>
      <w:r w:rsidR="00F349B0">
        <w:t xml:space="preserve"> </w:t>
      </w:r>
      <w:r w:rsidR="002B0C5A">
        <w:t xml:space="preserve">a </w:t>
      </w:r>
      <w:r w:rsidR="00F349B0">
        <w:t>joint-c</w:t>
      </w:r>
      <w:r w:rsidR="00F87E1D">
        <w:t>ollaborati</w:t>
      </w:r>
      <w:r w:rsidR="002B0C5A">
        <w:t>ve effort</w:t>
      </w:r>
      <w:r w:rsidR="00071E09">
        <w:t xml:space="preserve"> and with an effort to contribute to mitigating the covid19 pandemic in Vanuatu and the region</w:t>
      </w:r>
      <w:r>
        <w:t xml:space="preserve"> and fast-track investments in Sustainable Energy</w:t>
      </w:r>
      <w:r w:rsidR="00F349B0">
        <w:t xml:space="preserve">, the </w:t>
      </w:r>
      <w:r w:rsidR="006316B2">
        <w:t>DoE</w:t>
      </w:r>
      <w:r w:rsidR="00F349B0">
        <w:t>, URA and</w:t>
      </w:r>
      <w:r w:rsidR="00F87E1D">
        <w:t xml:space="preserve"> the PCREEE</w:t>
      </w:r>
      <w:r w:rsidR="00F349B0">
        <w:t xml:space="preserve"> will be conducting a Sustainable Energy Forum </w:t>
      </w:r>
      <w:r w:rsidR="002B0C5A">
        <w:t>in Port Vila Vanuatu on 2</w:t>
      </w:r>
      <w:r w:rsidR="002B0C5A" w:rsidRPr="00E615D1">
        <w:rPr>
          <w:vertAlign w:val="superscript"/>
        </w:rPr>
        <w:t>nd</w:t>
      </w:r>
      <w:r w:rsidR="002B0C5A">
        <w:t xml:space="preserve"> September 2021. While the Forum will be conducted in Vanuatu, other Pacific Island Countries will also be invited to join virtually. </w:t>
      </w:r>
    </w:p>
    <w:p w14:paraId="678767D9" w14:textId="4CDC67DF" w:rsidR="00132D05" w:rsidRPr="00B24525" w:rsidRDefault="00132D05" w:rsidP="000C2DFC">
      <w:pPr>
        <w:widowControl/>
        <w:adjustRightInd w:val="0"/>
        <w:spacing w:before="100" w:beforeAutospacing="1" w:after="120"/>
      </w:pPr>
      <w:r>
        <w:t xml:space="preserve">The NIF is complementary to the on-going initiatives within the Department of Energy and other PCREEE related support to the Vanuatu Government on Sustainable Energy including the trainings on renewable energy, electric mobility </w:t>
      </w:r>
      <w:r w:rsidR="001F1566">
        <w:t xml:space="preserve">and support on entrepreneurship and business start-ups. </w:t>
      </w:r>
      <w:r>
        <w:t xml:space="preserve"> </w:t>
      </w:r>
    </w:p>
    <w:p w14:paraId="7A97ADE9" w14:textId="2AA7D23E" w:rsidR="000E0FA6" w:rsidRPr="004543BB" w:rsidRDefault="000E0FA6" w:rsidP="001F2A0D">
      <w:pPr>
        <w:pStyle w:val="Title"/>
        <w:ind w:hanging="1138"/>
        <w:jc w:val="left"/>
        <w:rPr>
          <w:sz w:val="24"/>
          <w:szCs w:val="24"/>
        </w:rPr>
      </w:pPr>
      <w:r>
        <w:rPr>
          <w:sz w:val="24"/>
          <w:szCs w:val="24"/>
        </w:rPr>
        <w:t>Forum Objectives</w:t>
      </w:r>
    </w:p>
    <w:p w14:paraId="152DDCB2" w14:textId="291651AF" w:rsidR="002D5A84" w:rsidRPr="000C2DFC" w:rsidRDefault="002D5A84" w:rsidP="004543BB">
      <w:pPr>
        <w:pStyle w:val="BodyText"/>
        <w:spacing w:before="100" w:beforeAutospacing="1" w:after="120"/>
        <w:ind w:left="100" w:right="111"/>
        <w:jc w:val="both"/>
        <w:rPr>
          <w:color w:val="000000" w:themeColor="text1"/>
        </w:rPr>
      </w:pPr>
      <w:r w:rsidRPr="000C2DFC">
        <w:rPr>
          <w:color w:val="000000" w:themeColor="text1"/>
        </w:rPr>
        <w:t xml:space="preserve">The forum will cover an introduction and overview designed for </w:t>
      </w:r>
      <w:r w:rsidRPr="00532DB1">
        <w:rPr>
          <w:color w:val="000000" w:themeColor="text1"/>
        </w:rPr>
        <w:t>private sector</w:t>
      </w:r>
      <w:r w:rsidRPr="000C2DFC">
        <w:rPr>
          <w:color w:val="000000" w:themeColor="text1"/>
        </w:rPr>
        <w:t xml:space="preserve"> participants who have an interest in</w:t>
      </w:r>
      <w:r w:rsidR="00FF2BDE" w:rsidRPr="000C2DFC">
        <w:rPr>
          <w:color w:val="000000" w:themeColor="text1"/>
        </w:rPr>
        <w:t xml:space="preserve"> exploring</w:t>
      </w:r>
      <w:r w:rsidRPr="000C2DFC">
        <w:rPr>
          <w:color w:val="000000" w:themeColor="text1"/>
        </w:rPr>
        <w:t xml:space="preserve"> investing in the energy sector in</w:t>
      </w:r>
      <w:r w:rsidR="002B0C5A">
        <w:rPr>
          <w:color w:val="000000" w:themeColor="text1"/>
        </w:rPr>
        <w:t xml:space="preserve"> Vanuatu and</w:t>
      </w:r>
      <w:r w:rsidRPr="000C2DFC">
        <w:rPr>
          <w:color w:val="000000" w:themeColor="text1"/>
        </w:rPr>
        <w:t xml:space="preserve"> the Pacific Islands. The forum will </w:t>
      </w:r>
      <w:r w:rsidR="00FF2BDE" w:rsidRPr="000C2DFC">
        <w:rPr>
          <w:color w:val="000000" w:themeColor="text1"/>
        </w:rPr>
        <w:t xml:space="preserve">specifically </w:t>
      </w:r>
      <w:r w:rsidRPr="000C2DFC">
        <w:rPr>
          <w:color w:val="000000" w:themeColor="text1"/>
        </w:rPr>
        <w:t>cover renewable energy and energy efficiency asset classes</w:t>
      </w:r>
      <w:r w:rsidR="00994EFF" w:rsidRPr="000C2DFC">
        <w:rPr>
          <w:color w:val="000000" w:themeColor="text1"/>
        </w:rPr>
        <w:t xml:space="preserve"> which are aligned to </w:t>
      </w:r>
      <w:r w:rsidR="00FF2BDE" w:rsidRPr="000C2DFC">
        <w:rPr>
          <w:color w:val="000000" w:themeColor="text1"/>
        </w:rPr>
        <w:t xml:space="preserve">the PCREEE’s </w:t>
      </w:r>
      <w:r w:rsidR="00994EFF" w:rsidRPr="000C2DFC">
        <w:rPr>
          <w:color w:val="000000" w:themeColor="text1"/>
        </w:rPr>
        <w:t>Programmes in the region</w:t>
      </w:r>
      <w:r w:rsidRPr="000C2DFC">
        <w:rPr>
          <w:color w:val="000000" w:themeColor="text1"/>
        </w:rPr>
        <w:t>.</w:t>
      </w:r>
      <w:r w:rsidR="00FF2BDE" w:rsidRPr="000C2DFC">
        <w:rPr>
          <w:color w:val="000000" w:themeColor="text1"/>
        </w:rPr>
        <w:t xml:space="preserve"> The forum will seek to introduce a selection of these asset classes at a high-level, introduce the considerations associated with evaluating them, outline the available resources for support and introduce practical examples of completed investments in the region. </w:t>
      </w:r>
    </w:p>
    <w:p w14:paraId="675A4D03" w14:textId="77777777" w:rsidR="002D5A84" w:rsidRPr="000C2DFC" w:rsidRDefault="002D5A84" w:rsidP="004543BB">
      <w:pPr>
        <w:pStyle w:val="BodyText"/>
        <w:spacing w:before="100" w:beforeAutospacing="1" w:after="120"/>
        <w:ind w:left="100" w:right="111"/>
        <w:jc w:val="both"/>
        <w:rPr>
          <w:color w:val="000000" w:themeColor="text1"/>
        </w:rPr>
      </w:pPr>
    </w:p>
    <w:p w14:paraId="15896F76" w14:textId="516E4C22" w:rsidR="00FF2BDE" w:rsidRPr="000C2DFC" w:rsidRDefault="00C93460" w:rsidP="004543BB">
      <w:pPr>
        <w:pStyle w:val="BodyText"/>
        <w:spacing w:before="100" w:beforeAutospacing="1" w:after="120"/>
        <w:ind w:left="100" w:right="111"/>
        <w:jc w:val="both"/>
        <w:rPr>
          <w:color w:val="000000" w:themeColor="text1"/>
        </w:rPr>
      </w:pPr>
      <w:r>
        <w:rPr>
          <w:color w:val="000000" w:themeColor="text1"/>
        </w:rPr>
        <w:t>Vanuatu and t</w:t>
      </w:r>
      <w:r w:rsidR="00FF2BDE" w:rsidRPr="000C2DFC">
        <w:rPr>
          <w:color w:val="000000" w:themeColor="text1"/>
        </w:rPr>
        <w:t xml:space="preserve">he Pacific Islands energy sector has a growing need for greater financial investment and involvement, including from private sector participants. The region is expected to have a large and growing capital need which will be driven by (i) ambitious renewable energy and Greenhouse Gas (GHG) emission targets (ii) unmet electricity needs (in selected countries and regions) and (iii) a desire to transition to more economical and sustainable sources of generation and to improve energy efficiency (across industry and buildings, and the public and residential sectors). </w:t>
      </w:r>
    </w:p>
    <w:p w14:paraId="5C8301F6" w14:textId="138DC5D8" w:rsidR="004A64A3" w:rsidRDefault="00FF2BDE" w:rsidP="00B932F5">
      <w:pPr>
        <w:pStyle w:val="BodyText"/>
        <w:spacing w:before="100" w:beforeAutospacing="1" w:after="120"/>
        <w:ind w:left="100" w:right="111"/>
        <w:jc w:val="both"/>
        <w:rPr>
          <w:color w:val="000000" w:themeColor="text1"/>
        </w:rPr>
      </w:pPr>
      <w:r w:rsidRPr="000C2DFC">
        <w:rPr>
          <w:color w:val="000000" w:themeColor="text1"/>
        </w:rPr>
        <w:t>The</w:t>
      </w:r>
      <w:r w:rsidR="00C93460">
        <w:rPr>
          <w:color w:val="000000" w:themeColor="text1"/>
        </w:rPr>
        <w:t xml:space="preserve"> Vanuatu </w:t>
      </w:r>
      <w:r w:rsidRPr="000C2DFC">
        <w:rPr>
          <w:color w:val="000000" w:themeColor="text1"/>
        </w:rPr>
        <w:t>Nationally Determined Contributions (NDCs)</w:t>
      </w:r>
      <w:r w:rsidR="004A64A3" w:rsidRPr="000C2DFC">
        <w:rPr>
          <w:color w:val="000000" w:themeColor="text1"/>
        </w:rPr>
        <w:t xml:space="preserve"> </w:t>
      </w:r>
      <w:r w:rsidR="00C93460">
        <w:rPr>
          <w:color w:val="000000" w:themeColor="text1"/>
        </w:rPr>
        <w:t xml:space="preserve">including NDCs of other PICs </w:t>
      </w:r>
      <w:r w:rsidR="004A64A3" w:rsidRPr="000C2DFC">
        <w:rPr>
          <w:color w:val="000000" w:themeColor="text1"/>
        </w:rPr>
        <w:t xml:space="preserve">will be </w:t>
      </w:r>
      <w:r w:rsidR="00C93460">
        <w:rPr>
          <w:color w:val="000000" w:themeColor="text1"/>
        </w:rPr>
        <w:t>the</w:t>
      </w:r>
      <w:r w:rsidR="004A64A3" w:rsidRPr="000C2DFC">
        <w:rPr>
          <w:color w:val="000000" w:themeColor="text1"/>
        </w:rPr>
        <w:t xml:space="preserve"> key catalyst for further investment in the RE and EE sectors. A</w:t>
      </w:r>
      <w:r w:rsidR="004A64A3">
        <w:rPr>
          <w:color w:val="000000" w:themeColor="text1"/>
        </w:rPr>
        <w:t xml:space="preserve"> </w:t>
      </w:r>
      <w:r w:rsidR="004A64A3" w:rsidRPr="000C2DFC">
        <w:rPr>
          <w:color w:val="000000" w:themeColor="text1"/>
        </w:rPr>
        <w:t xml:space="preserve">high-level overview </w:t>
      </w:r>
      <w:r w:rsidR="004A64A3">
        <w:rPr>
          <w:color w:val="000000" w:themeColor="text1"/>
        </w:rPr>
        <w:t>of the NDCs from Pacific Developing Member Countries, is shown below:</w:t>
      </w:r>
    </w:p>
    <w:p w14:paraId="66BBF888" w14:textId="727F645A" w:rsidR="00E969B8" w:rsidRDefault="00E969B8" w:rsidP="00B932F5">
      <w:pPr>
        <w:pStyle w:val="BodyText"/>
        <w:spacing w:before="100" w:beforeAutospacing="1" w:after="120"/>
        <w:ind w:left="100" w:right="111"/>
        <w:jc w:val="both"/>
        <w:rPr>
          <w:color w:val="000000" w:themeColor="text1"/>
        </w:rPr>
      </w:pPr>
    </w:p>
    <w:p w14:paraId="1C39BF97" w14:textId="77777777" w:rsidR="001F2A0D" w:rsidRDefault="001F2A0D" w:rsidP="00B932F5">
      <w:pPr>
        <w:pStyle w:val="BodyText"/>
        <w:spacing w:before="100" w:beforeAutospacing="1" w:after="120"/>
        <w:ind w:left="100" w:right="111"/>
        <w:jc w:val="both"/>
        <w:rPr>
          <w:color w:val="000000" w:themeColor="text1"/>
        </w:rPr>
      </w:pPr>
    </w:p>
    <w:tbl>
      <w:tblPr>
        <w:tblStyle w:val="TableGrid"/>
        <w:tblW w:w="9476" w:type="dxa"/>
        <w:jc w:val="center"/>
        <w:tblLook w:val="04A0" w:firstRow="1" w:lastRow="0" w:firstColumn="1" w:lastColumn="0" w:noHBand="0" w:noVBand="1"/>
      </w:tblPr>
      <w:tblGrid>
        <w:gridCol w:w="1838"/>
        <w:gridCol w:w="1701"/>
        <w:gridCol w:w="1512"/>
        <w:gridCol w:w="1134"/>
        <w:gridCol w:w="1701"/>
        <w:gridCol w:w="1590"/>
      </w:tblGrid>
      <w:tr w:rsidR="0087081B" w14:paraId="6E1F4287" w14:textId="4A956241" w:rsidTr="00532DB1">
        <w:trPr>
          <w:jc w:val="center"/>
        </w:trPr>
        <w:tc>
          <w:tcPr>
            <w:tcW w:w="1838" w:type="dxa"/>
            <w:shd w:val="clear" w:color="auto" w:fill="00B0F0"/>
          </w:tcPr>
          <w:p w14:paraId="79BB6462" w14:textId="010D9CD0" w:rsidR="00B10548" w:rsidRPr="00B932F5" w:rsidRDefault="00B10548" w:rsidP="00B932F5">
            <w:pPr>
              <w:pStyle w:val="BodyText"/>
              <w:spacing w:before="100" w:beforeAutospacing="1" w:after="120"/>
              <w:ind w:right="111"/>
              <w:rPr>
                <w:b/>
                <w:color w:val="FFFFFF" w:themeColor="background1"/>
                <w:sz w:val="14"/>
                <w:szCs w:val="14"/>
              </w:rPr>
            </w:pPr>
            <w:r>
              <w:rPr>
                <w:b/>
                <w:color w:val="FFFFFF" w:themeColor="background1"/>
                <w:sz w:val="14"/>
                <w:szCs w:val="14"/>
              </w:rPr>
              <w:t>Selected Pacific Island Countries and Territories</w:t>
            </w:r>
          </w:p>
        </w:tc>
        <w:tc>
          <w:tcPr>
            <w:tcW w:w="1701" w:type="dxa"/>
            <w:shd w:val="clear" w:color="auto" w:fill="00B0F0"/>
          </w:tcPr>
          <w:p w14:paraId="2506FA24" w14:textId="42AB1BE0" w:rsidR="00B10548" w:rsidRPr="00B932F5" w:rsidRDefault="000A761D" w:rsidP="00B932F5">
            <w:pPr>
              <w:pStyle w:val="BodyText"/>
              <w:spacing w:before="100" w:beforeAutospacing="1" w:after="120"/>
              <w:ind w:right="111"/>
              <w:rPr>
                <w:b/>
                <w:color w:val="FFFFFF" w:themeColor="background1"/>
                <w:sz w:val="14"/>
                <w:szCs w:val="14"/>
              </w:rPr>
            </w:pPr>
            <w:r>
              <w:rPr>
                <w:b/>
                <w:color w:val="FFFFFF" w:themeColor="background1"/>
                <w:sz w:val="14"/>
                <w:szCs w:val="14"/>
              </w:rPr>
              <w:t>NDC r</w:t>
            </w:r>
            <w:r w:rsidR="00B10548" w:rsidRPr="00B932F5">
              <w:rPr>
                <w:b/>
                <w:color w:val="FFFFFF" w:themeColor="background1"/>
                <w:sz w:val="14"/>
                <w:szCs w:val="14"/>
              </w:rPr>
              <w:t xml:space="preserve">enewable </w:t>
            </w:r>
            <w:r>
              <w:rPr>
                <w:b/>
                <w:color w:val="FFFFFF" w:themeColor="background1"/>
                <w:sz w:val="14"/>
                <w:szCs w:val="14"/>
              </w:rPr>
              <w:t>e</w:t>
            </w:r>
            <w:r w:rsidR="00B10548" w:rsidRPr="00B932F5">
              <w:rPr>
                <w:b/>
                <w:color w:val="FFFFFF" w:themeColor="background1"/>
                <w:sz w:val="14"/>
                <w:szCs w:val="14"/>
              </w:rPr>
              <w:t xml:space="preserve">nergy </w:t>
            </w:r>
            <w:r>
              <w:rPr>
                <w:b/>
                <w:color w:val="FFFFFF" w:themeColor="background1"/>
                <w:sz w:val="14"/>
                <w:szCs w:val="14"/>
              </w:rPr>
              <w:t>t</w:t>
            </w:r>
            <w:r w:rsidR="00B10548" w:rsidRPr="00B932F5">
              <w:rPr>
                <w:b/>
                <w:color w:val="FFFFFF" w:themeColor="background1"/>
                <w:sz w:val="14"/>
                <w:szCs w:val="14"/>
              </w:rPr>
              <w:t xml:space="preserve">arget </w:t>
            </w:r>
            <w:r>
              <w:rPr>
                <w:b/>
                <w:color w:val="FFFFFF" w:themeColor="background1"/>
                <w:sz w:val="14"/>
                <w:szCs w:val="14"/>
              </w:rPr>
              <w:t>and</w:t>
            </w:r>
            <w:r w:rsidRPr="00B932F5">
              <w:rPr>
                <w:b/>
                <w:color w:val="FFFFFF" w:themeColor="background1"/>
                <w:sz w:val="14"/>
                <w:szCs w:val="14"/>
              </w:rPr>
              <w:t xml:space="preserve"> </w:t>
            </w:r>
            <w:r>
              <w:rPr>
                <w:b/>
                <w:color w:val="FFFFFF" w:themeColor="background1"/>
                <w:sz w:val="14"/>
                <w:szCs w:val="14"/>
              </w:rPr>
              <w:t>y</w:t>
            </w:r>
            <w:r w:rsidR="00B10548" w:rsidRPr="00B932F5">
              <w:rPr>
                <w:b/>
                <w:color w:val="FFFFFF" w:themeColor="background1"/>
                <w:sz w:val="14"/>
                <w:szCs w:val="14"/>
              </w:rPr>
              <w:t>ear</w:t>
            </w:r>
            <w:r w:rsidR="00782DBC">
              <w:rPr>
                <w:rStyle w:val="FootnoteReference"/>
                <w:b/>
                <w:color w:val="FFFFFF" w:themeColor="background1"/>
                <w:sz w:val="14"/>
                <w:szCs w:val="14"/>
              </w:rPr>
              <w:footnoteReference w:id="1"/>
            </w:r>
          </w:p>
        </w:tc>
        <w:tc>
          <w:tcPr>
            <w:tcW w:w="1512" w:type="dxa"/>
            <w:shd w:val="clear" w:color="auto" w:fill="00B0F0"/>
          </w:tcPr>
          <w:p w14:paraId="17B6F858" w14:textId="39593E30" w:rsidR="00B10548" w:rsidRPr="00B932F5" w:rsidRDefault="00782DBC" w:rsidP="00B932F5">
            <w:pPr>
              <w:pStyle w:val="BodyText"/>
              <w:spacing w:before="100" w:beforeAutospacing="1" w:after="120"/>
              <w:ind w:right="111"/>
              <w:rPr>
                <w:b/>
                <w:color w:val="FFFFFF" w:themeColor="background1"/>
                <w:sz w:val="14"/>
                <w:szCs w:val="14"/>
              </w:rPr>
            </w:pPr>
            <w:r>
              <w:rPr>
                <w:b/>
                <w:color w:val="FFFFFF" w:themeColor="background1"/>
                <w:sz w:val="14"/>
                <w:szCs w:val="14"/>
              </w:rPr>
              <w:t xml:space="preserve">Renewable energy </w:t>
            </w:r>
            <w:r w:rsidR="008A1695">
              <w:rPr>
                <w:b/>
                <w:color w:val="FFFFFF" w:themeColor="background1"/>
                <w:sz w:val="14"/>
                <w:szCs w:val="14"/>
              </w:rPr>
              <w:t>g</w:t>
            </w:r>
            <w:r w:rsidR="005E117E">
              <w:rPr>
                <w:b/>
                <w:color w:val="FFFFFF" w:themeColor="background1"/>
                <w:sz w:val="14"/>
                <w:szCs w:val="14"/>
              </w:rPr>
              <w:t>eneration</w:t>
            </w:r>
            <w:r w:rsidR="005E117E">
              <w:rPr>
                <w:rStyle w:val="FootnoteReference"/>
                <w:b/>
                <w:color w:val="FFFFFF" w:themeColor="background1"/>
                <w:sz w:val="14"/>
                <w:szCs w:val="14"/>
              </w:rPr>
              <w:footnoteReference w:id="2"/>
            </w:r>
          </w:p>
        </w:tc>
        <w:tc>
          <w:tcPr>
            <w:tcW w:w="1134" w:type="dxa"/>
            <w:shd w:val="clear" w:color="auto" w:fill="00B0F0"/>
          </w:tcPr>
          <w:p w14:paraId="568C9347" w14:textId="68B32791" w:rsidR="00B10548" w:rsidRPr="00B932F5" w:rsidRDefault="00B10548" w:rsidP="00B932F5">
            <w:pPr>
              <w:pStyle w:val="BodyText"/>
              <w:spacing w:before="100" w:beforeAutospacing="1" w:after="120"/>
              <w:ind w:right="111"/>
              <w:rPr>
                <w:b/>
                <w:color w:val="FFFFFF" w:themeColor="background1"/>
                <w:sz w:val="14"/>
                <w:szCs w:val="14"/>
              </w:rPr>
            </w:pPr>
            <w:r>
              <w:rPr>
                <w:b/>
                <w:color w:val="FFFFFF" w:themeColor="background1"/>
                <w:sz w:val="14"/>
                <w:szCs w:val="14"/>
              </w:rPr>
              <w:t>Installed RE capacity</w:t>
            </w:r>
            <w:r w:rsidR="005E117E">
              <w:rPr>
                <w:rStyle w:val="FootnoteReference"/>
                <w:b/>
                <w:color w:val="FFFFFF" w:themeColor="background1"/>
                <w:sz w:val="14"/>
                <w:szCs w:val="14"/>
              </w:rPr>
              <w:footnoteReference w:id="3"/>
            </w:r>
          </w:p>
        </w:tc>
        <w:tc>
          <w:tcPr>
            <w:tcW w:w="1701" w:type="dxa"/>
            <w:shd w:val="clear" w:color="auto" w:fill="00B0F0"/>
          </w:tcPr>
          <w:p w14:paraId="148A2B6D" w14:textId="6887F16B" w:rsidR="00B10548" w:rsidRPr="00B932F5" w:rsidRDefault="00B10548" w:rsidP="00B932F5">
            <w:pPr>
              <w:pStyle w:val="BodyText"/>
              <w:spacing w:before="100" w:beforeAutospacing="1" w:after="120"/>
              <w:ind w:right="111"/>
              <w:rPr>
                <w:b/>
                <w:color w:val="FFFFFF" w:themeColor="background1"/>
                <w:sz w:val="14"/>
                <w:szCs w:val="14"/>
              </w:rPr>
            </w:pPr>
            <w:r w:rsidRPr="00B932F5">
              <w:rPr>
                <w:b/>
                <w:color w:val="FFFFFF" w:themeColor="background1"/>
                <w:sz w:val="14"/>
                <w:szCs w:val="14"/>
              </w:rPr>
              <w:t xml:space="preserve">Estimated </w:t>
            </w:r>
            <w:r w:rsidR="002A07A4">
              <w:rPr>
                <w:b/>
                <w:color w:val="FFFFFF" w:themeColor="background1"/>
                <w:sz w:val="14"/>
                <w:szCs w:val="14"/>
              </w:rPr>
              <w:t xml:space="preserve">incremental </w:t>
            </w:r>
            <w:r w:rsidRPr="00B932F5">
              <w:rPr>
                <w:b/>
                <w:color w:val="FFFFFF" w:themeColor="background1"/>
                <w:sz w:val="14"/>
                <w:szCs w:val="14"/>
              </w:rPr>
              <w:t xml:space="preserve">RE </w:t>
            </w:r>
            <w:r w:rsidR="002A07A4">
              <w:rPr>
                <w:b/>
                <w:color w:val="FFFFFF" w:themeColor="background1"/>
                <w:sz w:val="14"/>
                <w:szCs w:val="14"/>
              </w:rPr>
              <w:t>c</w:t>
            </w:r>
            <w:r w:rsidRPr="00B932F5">
              <w:rPr>
                <w:b/>
                <w:color w:val="FFFFFF" w:themeColor="background1"/>
                <w:sz w:val="14"/>
                <w:szCs w:val="14"/>
              </w:rPr>
              <w:t xml:space="preserve">apacity </w:t>
            </w:r>
            <w:r w:rsidR="002A07A4">
              <w:rPr>
                <w:b/>
                <w:color w:val="FFFFFF" w:themeColor="background1"/>
                <w:sz w:val="14"/>
                <w:szCs w:val="14"/>
              </w:rPr>
              <w:t>needed</w:t>
            </w:r>
            <w:r w:rsidR="002A07A4">
              <w:rPr>
                <w:rStyle w:val="FootnoteReference"/>
                <w:b/>
                <w:color w:val="FFFFFF" w:themeColor="background1"/>
                <w:sz w:val="14"/>
                <w:szCs w:val="14"/>
              </w:rPr>
              <w:footnoteReference w:id="4"/>
            </w:r>
          </w:p>
        </w:tc>
        <w:tc>
          <w:tcPr>
            <w:tcW w:w="1590" w:type="dxa"/>
            <w:shd w:val="clear" w:color="auto" w:fill="00B0F0"/>
          </w:tcPr>
          <w:p w14:paraId="5FE7271C" w14:textId="1BD81E1A" w:rsidR="00B10548" w:rsidRPr="00B932F5" w:rsidRDefault="00B10548" w:rsidP="00B932F5">
            <w:pPr>
              <w:pStyle w:val="BodyText"/>
              <w:spacing w:before="100" w:beforeAutospacing="1" w:after="120"/>
              <w:ind w:right="111"/>
              <w:rPr>
                <w:b/>
                <w:color w:val="FFFFFF" w:themeColor="background1"/>
                <w:sz w:val="14"/>
                <w:szCs w:val="14"/>
              </w:rPr>
            </w:pPr>
            <w:r w:rsidRPr="00B932F5">
              <w:rPr>
                <w:b/>
                <w:color w:val="FFFFFF" w:themeColor="background1"/>
                <w:sz w:val="14"/>
                <w:szCs w:val="14"/>
              </w:rPr>
              <w:t xml:space="preserve">Estimated </w:t>
            </w:r>
            <w:r w:rsidR="002A07A4">
              <w:rPr>
                <w:b/>
                <w:color w:val="FFFFFF" w:themeColor="background1"/>
                <w:sz w:val="14"/>
                <w:szCs w:val="14"/>
              </w:rPr>
              <w:t>i</w:t>
            </w:r>
            <w:r w:rsidRPr="00B932F5">
              <w:rPr>
                <w:b/>
                <w:color w:val="FFFFFF" w:themeColor="background1"/>
                <w:sz w:val="14"/>
                <w:szCs w:val="14"/>
              </w:rPr>
              <w:t>nvestment (</w:t>
            </w:r>
            <w:proofErr w:type="spellStart"/>
            <w:r w:rsidRPr="00B932F5">
              <w:rPr>
                <w:b/>
                <w:color w:val="FFFFFF" w:themeColor="background1"/>
                <w:sz w:val="14"/>
                <w:szCs w:val="14"/>
              </w:rPr>
              <w:t>USD</w:t>
            </w:r>
            <w:r>
              <w:rPr>
                <w:b/>
                <w:color w:val="FFFFFF" w:themeColor="background1"/>
                <w:sz w:val="14"/>
                <w:szCs w:val="14"/>
              </w:rPr>
              <w:t>m</w:t>
            </w:r>
            <w:proofErr w:type="spellEnd"/>
            <w:r w:rsidRPr="00B932F5">
              <w:rPr>
                <w:b/>
                <w:color w:val="FFFFFF" w:themeColor="background1"/>
                <w:sz w:val="14"/>
                <w:szCs w:val="14"/>
              </w:rPr>
              <w:t>)</w:t>
            </w:r>
            <w:r w:rsidR="00126275">
              <w:rPr>
                <w:rStyle w:val="FootnoteReference"/>
                <w:b/>
                <w:color w:val="FFFFFF" w:themeColor="background1"/>
                <w:sz w:val="14"/>
                <w:szCs w:val="14"/>
              </w:rPr>
              <w:t xml:space="preserve"> </w:t>
            </w:r>
            <w:r w:rsidR="00126275">
              <w:rPr>
                <w:rStyle w:val="FootnoteReference"/>
                <w:b/>
                <w:color w:val="FFFFFF" w:themeColor="background1"/>
                <w:sz w:val="14"/>
                <w:szCs w:val="14"/>
              </w:rPr>
              <w:footnoteReference w:id="5"/>
            </w:r>
          </w:p>
        </w:tc>
      </w:tr>
      <w:tr w:rsidR="0087081B" w14:paraId="6376E153" w14:textId="41D452A9" w:rsidTr="00532DB1">
        <w:trPr>
          <w:trHeight w:val="462"/>
          <w:jc w:val="center"/>
        </w:trPr>
        <w:tc>
          <w:tcPr>
            <w:tcW w:w="1838" w:type="dxa"/>
          </w:tcPr>
          <w:p w14:paraId="4048237D" w14:textId="2ACC8696"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Cook Islands</w:t>
            </w:r>
            <w:r w:rsidR="00630C5F">
              <w:rPr>
                <w:color w:val="000000" w:themeColor="text1"/>
                <w:sz w:val="14"/>
                <w:szCs w:val="14"/>
              </w:rPr>
              <w:t xml:space="preserve"> (S)</w:t>
            </w:r>
          </w:p>
        </w:tc>
        <w:tc>
          <w:tcPr>
            <w:tcW w:w="1701" w:type="dxa"/>
          </w:tcPr>
          <w:p w14:paraId="2A86425C" w14:textId="7B9CA22B"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100% by 2020</w:t>
            </w:r>
          </w:p>
        </w:tc>
        <w:tc>
          <w:tcPr>
            <w:tcW w:w="1512" w:type="dxa"/>
          </w:tcPr>
          <w:p w14:paraId="7BAC95FD" w14:textId="0BF7B9D9"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 xml:space="preserve">11GWh (26%) </w:t>
            </w:r>
          </w:p>
        </w:tc>
        <w:tc>
          <w:tcPr>
            <w:tcW w:w="1134" w:type="dxa"/>
          </w:tcPr>
          <w:p w14:paraId="5A837C9D" w14:textId="29DCD184"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7MW (28%)</w:t>
            </w:r>
          </w:p>
        </w:tc>
        <w:tc>
          <w:tcPr>
            <w:tcW w:w="1701" w:type="dxa"/>
          </w:tcPr>
          <w:p w14:paraId="79D0E238" w14:textId="6EFB21AC"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18MW to 22MW</w:t>
            </w:r>
          </w:p>
        </w:tc>
        <w:tc>
          <w:tcPr>
            <w:tcW w:w="1590" w:type="dxa"/>
          </w:tcPr>
          <w:p w14:paraId="0973F00B" w14:textId="5E826390" w:rsidR="00B10548" w:rsidRPr="00B932F5" w:rsidRDefault="008100BC" w:rsidP="00B932F5">
            <w:pPr>
              <w:pStyle w:val="BodyText"/>
              <w:spacing w:before="100" w:beforeAutospacing="1" w:after="120"/>
              <w:ind w:right="111"/>
              <w:rPr>
                <w:color w:val="000000" w:themeColor="text1"/>
                <w:sz w:val="14"/>
                <w:szCs w:val="14"/>
              </w:rPr>
            </w:pPr>
            <w:r>
              <w:rPr>
                <w:color w:val="000000" w:themeColor="text1"/>
                <w:sz w:val="14"/>
                <w:szCs w:val="14"/>
              </w:rPr>
              <w:t>US$50 – 60m</w:t>
            </w:r>
          </w:p>
        </w:tc>
      </w:tr>
      <w:tr w:rsidR="0087081B" w14:paraId="617965D7" w14:textId="3FCC96E2" w:rsidTr="00532DB1">
        <w:trPr>
          <w:trHeight w:val="462"/>
          <w:jc w:val="center"/>
        </w:trPr>
        <w:tc>
          <w:tcPr>
            <w:tcW w:w="1838" w:type="dxa"/>
          </w:tcPr>
          <w:p w14:paraId="62AF1946" w14:textId="66CD7EB1"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Federated States of Micronesia</w:t>
            </w:r>
            <w:r w:rsidR="00630C5F">
              <w:rPr>
                <w:color w:val="000000" w:themeColor="text1"/>
                <w:sz w:val="14"/>
                <w:szCs w:val="14"/>
              </w:rPr>
              <w:t xml:space="preserve"> (S) (W)</w:t>
            </w:r>
          </w:p>
        </w:tc>
        <w:tc>
          <w:tcPr>
            <w:tcW w:w="1701" w:type="dxa"/>
          </w:tcPr>
          <w:p w14:paraId="72697063" w14:textId="35C3C7F8"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&gt;30% by 2020</w:t>
            </w:r>
          </w:p>
        </w:tc>
        <w:tc>
          <w:tcPr>
            <w:tcW w:w="1512" w:type="dxa"/>
          </w:tcPr>
          <w:p w14:paraId="52097DA0" w14:textId="4E0478A5"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3GWh (5%)</w:t>
            </w:r>
          </w:p>
        </w:tc>
        <w:tc>
          <w:tcPr>
            <w:tcW w:w="1134" w:type="dxa"/>
          </w:tcPr>
          <w:p w14:paraId="09E2CBB5" w14:textId="7C9CF0F6"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3MW (9%)</w:t>
            </w:r>
          </w:p>
        </w:tc>
        <w:tc>
          <w:tcPr>
            <w:tcW w:w="1701" w:type="dxa"/>
          </w:tcPr>
          <w:p w14:paraId="18867370" w14:textId="67549E60"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51MW to 63MW</w:t>
            </w:r>
          </w:p>
        </w:tc>
        <w:tc>
          <w:tcPr>
            <w:tcW w:w="1590" w:type="dxa"/>
          </w:tcPr>
          <w:p w14:paraId="26C5417B" w14:textId="59295B40" w:rsidR="00B10548" w:rsidRPr="00B932F5" w:rsidRDefault="008100BC" w:rsidP="00B932F5">
            <w:pPr>
              <w:pStyle w:val="BodyText"/>
              <w:spacing w:before="100" w:beforeAutospacing="1" w:after="120"/>
              <w:ind w:right="111"/>
              <w:rPr>
                <w:color w:val="000000" w:themeColor="text1"/>
                <w:sz w:val="14"/>
                <w:szCs w:val="14"/>
              </w:rPr>
            </w:pPr>
            <w:r>
              <w:rPr>
                <w:color w:val="000000" w:themeColor="text1"/>
                <w:sz w:val="14"/>
                <w:szCs w:val="14"/>
              </w:rPr>
              <w:t>US$140 – 175m</w:t>
            </w:r>
          </w:p>
        </w:tc>
      </w:tr>
      <w:tr w:rsidR="0087081B" w14:paraId="4F0D9BFE" w14:textId="786DDC4E" w:rsidTr="00532DB1">
        <w:trPr>
          <w:trHeight w:val="462"/>
          <w:jc w:val="center"/>
        </w:trPr>
        <w:tc>
          <w:tcPr>
            <w:tcW w:w="1838" w:type="dxa"/>
          </w:tcPr>
          <w:p w14:paraId="0944E604" w14:textId="1C95440F"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 xml:space="preserve">Fiji </w:t>
            </w:r>
            <w:r w:rsidR="00630C5F">
              <w:rPr>
                <w:color w:val="000000" w:themeColor="text1"/>
                <w:sz w:val="14"/>
                <w:szCs w:val="14"/>
              </w:rPr>
              <w:t>(H) (B) (W) (S)</w:t>
            </w:r>
          </w:p>
        </w:tc>
        <w:tc>
          <w:tcPr>
            <w:tcW w:w="1701" w:type="dxa"/>
          </w:tcPr>
          <w:p w14:paraId="3338D310" w14:textId="7020BAE5"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100% by 2030</w:t>
            </w:r>
          </w:p>
        </w:tc>
        <w:tc>
          <w:tcPr>
            <w:tcW w:w="1512" w:type="dxa"/>
          </w:tcPr>
          <w:p w14:paraId="2605DBB7" w14:textId="2560BF6E"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642GWh (60%)</w:t>
            </w:r>
          </w:p>
        </w:tc>
        <w:tc>
          <w:tcPr>
            <w:tcW w:w="1134" w:type="dxa"/>
          </w:tcPr>
          <w:p w14:paraId="0BC6C7FA" w14:textId="17FB38AD"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212MW (59%)</w:t>
            </w:r>
          </w:p>
        </w:tc>
        <w:tc>
          <w:tcPr>
            <w:tcW w:w="1701" w:type="dxa"/>
          </w:tcPr>
          <w:p w14:paraId="2AE9E2EB" w14:textId="7B4B1888"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127MW to 155MW</w:t>
            </w:r>
          </w:p>
        </w:tc>
        <w:tc>
          <w:tcPr>
            <w:tcW w:w="1590" w:type="dxa"/>
          </w:tcPr>
          <w:p w14:paraId="29A98743" w14:textId="54499FE4" w:rsidR="00B10548" w:rsidRPr="00B932F5" w:rsidRDefault="008100BC" w:rsidP="00B932F5">
            <w:pPr>
              <w:pStyle w:val="BodyText"/>
              <w:spacing w:before="100" w:beforeAutospacing="1" w:after="120"/>
              <w:ind w:right="111"/>
              <w:rPr>
                <w:color w:val="000000" w:themeColor="text1"/>
                <w:sz w:val="14"/>
                <w:szCs w:val="14"/>
              </w:rPr>
            </w:pPr>
            <w:r>
              <w:rPr>
                <w:color w:val="000000" w:themeColor="text1"/>
                <w:sz w:val="14"/>
                <w:szCs w:val="14"/>
              </w:rPr>
              <w:t>US$350 – 430m</w:t>
            </w:r>
          </w:p>
        </w:tc>
      </w:tr>
      <w:tr w:rsidR="0087081B" w14:paraId="7AC8693F" w14:textId="67B6D09B" w:rsidTr="00532DB1">
        <w:trPr>
          <w:trHeight w:val="462"/>
          <w:jc w:val="center"/>
        </w:trPr>
        <w:tc>
          <w:tcPr>
            <w:tcW w:w="1838" w:type="dxa"/>
          </w:tcPr>
          <w:p w14:paraId="5826366A" w14:textId="5D01D706"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Kiribati</w:t>
            </w:r>
            <w:r w:rsidR="00630C5F">
              <w:rPr>
                <w:color w:val="000000" w:themeColor="text1"/>
                <w:sz w:val="14"/>
                <w:szCs w:val="14"/>
              </w:rPr>
              <w:t xml:space="preserve"> (S)</w:t>
            </w:r>
          </w:p>
        </w:tc>
        <w:tc>
          <w:tcPr>
            <w:tcW w:w="1701" w:type="dxa"/>
          </w:tcPr>
          <w:p w14:paraId="4D0263DD" w14:textId="30D16FFF" w:rsidR="00B10548" w:rsidRPr="00B932F5" w:rsidRDefault="00782DBC" w:rsidP="00B932F5">
            <w:pPr>
              <w:pStyle w:val="BodyText"/>
              <w:spacing w:before="100" w:beforeAutospacing="1" w:after="120"/>
              <w:ind w:right="111"/>
              <w:rPr>
                <w:color w:val="000000" w:themeColor="text1"/>
                <w:sz w:val="14"/>
                <w:szCs w:val="14"/>
              </w:rPr>
            </w:pPr>
            <w:r>
              <w:rPr>
                <w:color w:val="000000" w:themeColor="text1"/>
                <w:sz w:val="14"/>
                <w:szCs w:val="14"/>
              </w:rPr>
              <w:t>23 – 40% by 2025</w:t>
            </w:r>
          </w:p>
        </w:tc>
        <w:tc>
          <w:tcPr>
            <w:tcW w:w="1512" w:type="dxa"/>
          </w:tcPr>
          <w:p w14:paraId="6FBDE994" w14:textId="3B3813FC" w:rsidR="00B10548" w:rsidRPr="00B932F5" w:rsidRDefault="001D6764" w:rsidP="00B932F5">
            <w:pPr>
              <w:pStyle w:val="BodyText"/>
              <w:spacing w:before="100" w:beforeAutospacing="1" w:after="120"/>
              <w:ind w:right="111"/>
              <w:rPr>
                <w:color w:val="000000" w:themeColor="text1"/>
                <w:sz w:val="14"/>
                <w:szCs w:val="14"/>
              </w:rPr>
            </w:pPr>
            <w:r>
              <w:rPr>
                <w:color w:val="000000" w:themeColor="text1"/>
                <w:sz w:val="14"/>
                <w:szCs w:val="14"/>
              </w:rPr>
              <w:t>5GWh</w:t>
            </w:r>
            <w:r w:rsidR="00630C5F">
              <w:rPr>
                <w:color w:val="000000" w:themeColor="text1"/>
                <w:sz w:val="14"/>
                <w:szCs w:val="14"/>
              </w:rPr>
              <w:t xml:space="preserve"> (17%)</w:t>
            </w:r>
          </w:p>
        </w:tc>
        <w:tc>
          <w:tcPr>
            <w:tcW w:w="1134" w:type="dxa"/>
          </w:tcPr>
          <w:p w14:paraId="6AD4F063" w14:textId="69485D9A"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3MW (30%)</w:t>
            </w:r>
          </w:p>
        </w:tc>
        <w:tc>
          <w:tcPr>
            <w:tcW w:w="1701" w:type="dxa"/>
          </w:tcPr>
          <w:p w14:paraId="1565F824" w14:textId="31F90ADF" w:rsidR="00B10548" w:rsidRPr="00B932F5" w:rsidRDefault="00630C5F" w:rsidP="00B932F5">
            <w:pPr>
              <w:pStyle w:val="BodyText"/>
              <w:spacing w:before="100" w:beforeAutospacing="1" w:after="120"/>
              <w:ind w:right="111"/>
              <w:rPr>
                <w:color w:val="000000" w:themeColor="text1"/>
                <w:sz w:val="14"/>
                <w:szCs w:val="14"/>
              </w:rPr>
            </w:pPr>
            <w:r>
              <w:rPr>
                <w:color w:val="000000" w:themeColor="text1"/>
                <w:sz w:val="14"/>
                <w:szCs w:val="14"/>
              </w:rPr>
              <w:t xml:space="preserve">21MW to 27MW </w:t>
            </w:r>
          </w:p>
        </w:tc>
        <w:tc>
          <w:tcPr>
            <w:tcW w:w="1590" w:type="dxa"/>
          </w:tcPr>
          <w:p w14:paraId="6B6DBE25" w14:textId="43C10E59" w:rsidR="00B10548" w:rsidRPr="00B932F5" w:rsidRDefault="008100BC" w:rsidP="00B932F5">
            <w:pPr>
              <w:pStyle w:val="BodyText"/>
              <w:spacing w:before="100" w:beforeAutospacing="1" w:after="120"/>
              <w:ind w:right="111"/>
              <w:rPr>
                <w:color w:val="000000" w:themeColor="text1"/>
                <w:sz w:val="14"/>
                <w:szCs w:val="14"/>
              </w:rPr>
            </w:pPr>
            <w:r>
              <w:rPr>
                <w:color w:val="000000" w:themeColor="text1"/>
                <w:sz w:val="14"/>
                <w:szCs w:val="14"/>
              </w:rPr>
              <w:t>US$60 – 75m</w:t>
            </w:r>
          </w:p>
        </w:tc>
      </w:tr>
      <w:tr w:rsidR="0087081B" w14:paraId="7140141A" w14:textId="6C248A99" w:rsidTr="00532DB1">
        <w:trPr>
          <w:trHeight w:val="462"/>
          <w:jc w:val="center"/>
        </w:trPr>
        <w:tc>
          <w:tcPr>
            <w:tcW w:w="1838" w:type="dxa"/>
          </w:tcPr>
          <w:p w14:paraId="757A81EE" w14:textId="0F2200F9"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 xml:space="preserve">Marshal Islands </w:t>
            </w:r>
            <w:r w:rsidR="00630C5F">
              <w:rPr>
                <w:color w:val="000000" w:themeColor="text1"/>
                <w:sz w:val="14"/>
                <w:szCs w:val="14"/>
              </w:rPr>
              <w:t>(S)</w:t>
            </w:r>
          </w:p>
        </w:tc>
        <w:tc>
          <w:tcPr>
            <w:tcW w:w="1701" w:type="dxa"/>
          </w:tcPr>
          <w:p w14:paraId="77D784F6" w14:textId="411A9BD2" w:rsidR="00B10548" w:rsidRPr="00B932F5" w:rsidRDefault="00782DBC" w:rsidP="00B932F5">
            <w:pPr>
              <w:pStyle w:val="BodyText"/>
              <w:spacing w:before="100" w:beforeAutospacing="1" w:after="120"/>
              <w:ind w:right="111"/>
              <w:rPr>
                <w:color w:val="000000" w:themeColor="text1"/>
                <w:sz w:val="14"/>
                <w:szCs w:val="14"/>
              </w:rPr>
            </w:pPr>
            <w:r>
              <w:rPr>
                <w:color w:val="000000" w:themeColor="text1"/>
                <w:sz w:val="14"/>
                <w:szCs w:val="14"/>
              </w:rPr>
              <w:t>20% by 2020</w:t>
            </w:r>
          </w:p>
        </w:tc>
        <w:tc>
          <w:tcPr>
            <w:tcW w:w="1512" w:type="dxa"/>
          </w:tcPr>
          <w:p w14:paraId="2214DB2A" w14:textId="065B4085" w:rsidR="00B10548" w:rsidRPr="00B932F5" w:rsidRDefault="00A426E8" w:rsidP="00B932F5">
            <w:pPr>
              <w:pStyle w:val="BodyText"/>
              <w:spacing w:before="100" w:beforeAutospacing="1" w:after="120"/>
              <w:ind w:right="111"/>
              <w:rPr>
                <w:color w:val="000000" w:themeColor="text1"/>
                <w:sz w:val="14"/>
                <w:szCs w:val="14"/>
              </w:rPr>
            </w:pPr>
            <w:r>
              <w:rPr>
                <w:color w:val="000000" w:themeColor="text1"/>
                <w:sz w:val="14"/>
                <w:szCs w:val="14"/>
              </w:rPr>
              <w:t>2GWh (2%)</w:t>
            </w:r>
          </w:p>
        </w:tc>
        <w:tc>
          <w:tcPr>
            <w:tcW w:w="1134" w:type="dxa"/>
          </w:tcPr>
          <w:p w14:paraId="3988B1A5" w14:textId="4BFF68BA" w:rsidR="00B10548" w:rsidRPr="00B932F5" w:rsidRDefault="00A426E8" w:rsidP="00B932F5">
            <w:pPr>
              <w:pStyle w:val="BodyText"/>
              <w:spacing w:before="100" w:beforeAutospacing="1" w:after="120"/>
              <w:ind w:right="111"/>
              <w:rPr>
                <w:color w:val="000000" w:themeColor="text1"/>
                <w:sz w:val="14"/>
                <w:szCs w:val="14"/>
              </w:rPr>
            </w:pPr>
            <w:r>
              <w:rPr>
                <w:color w:val="000000" w:themeColor="text1"/>
                <w:sz w:val="14"/>
                <w:szCs w:val="14"/>
              </w:rPr>
              <w:t>2MW (5%)</w:t>
            </w:r>
          </w:p>
        </w:tc>
        <w:tc>
          <w:tcPr>
            <w:tcW w:w="1701" w:type="dxa"/>
          </w:tcPr>
          <w:p w14:paraId="41A558A2" w14:textId="23674FC0" w:rsidR="00B10548" w:rsidRPr="00B932F5" w:rsidRDefault="00A426E8" w:rsidP="00B932F5">
            <w:pPr>
              <w:pStyle w:val="BodyText"/>
              <w:spacing w:before="100" w:beforeAutospacing="1" w:after="120"/>
              <w:ind w:right="111"/>
              <w:rPr>
                <w:color w:val="000000" w:themeColor="text1"/>
                <w:sz w:val="14"/>
                <w:szCs w:val="14"/>
              </w:rPr>
            </w:pPr>
            <w:r>
              <w:rPr>
                <w:color w:val="000000" w:themeColor="text1"/>
                <w:sz w:val="14"/>
                <w:szCs w:val="14"/>
              </w:rPr>
              <w:t>88MW to 108MW</w:t>
            </w:r>
          </w:p>
        </w:tc>
        <w:tc>
          <w:tcPr>
            <w:tcW w:w="1590" w:type="dxa"/>
          </w:tcPr>
          <w:p w14:paraId="50E604D8" w14:textId="66A7F085" w:rsidR="00B10548" w:rsidRPr="00B932F5" w:rsidRDefault="008100BC" w:rsidP="00B932F5">
            <w:pPr>
              <w:pStyle w:val="BodyText"/>
              <w:spacing w:before="100" w:beforeAutospacing="1" w:after="120"/>
              <w:ind w:right="111"/>
              <w:rPr>
                <w:color w:val="000000" w:themeColor="text1"/>
                <w:sz w:val="14"/>
                <w:szCs w:val="14"/>
              </w:rPr>
            </w:pPr>
            <w:r>
              <w:rPr>
                <w:color w:val="000000" w:themeColor="text1"/>
                <w:sz w:val="14"/>
                <w:szCs w:val="14"/>
              </w:rPr>
              <w:t>US$245 – 300m</w:t>
            </w:r>
          </w:p>
        </w:tc>
      </w:tr>
      <w:tr w:rsidR="0087081B" w14:paraId="4F5F9E55" w14:textId="2354B6A6" w:rsidTr="00532DB1">
        <w:trPr>
          <w:trHeight w:val="462"/>
          <w:jc w:val="center"/>
        </w:trPr>
        <w:tc>
          <w:tcPr>
            <w:tcW w:w="1838" w:type="dxa"/>
          </w:tcPr>
          <w:p w14:paraId="42502F44" w14:textId="4ED036E6" w:rsidR="00B10548" w:rsidRPr="00B932F5" w:rsidRDefault="00B10548" w:rsidP="00B932F5">
            <w:pPr>
              <w:pStyle w:val="BodyText"/>
              <w:spacing w:before="100" w:beforeAutospacing="1" w:after="120"/>
              <w:ind w:right="111"/>
              <w:rPr>
                <w:color w:val="000000" w:themeColor="text1"/>
                <w:sz w:val="14"/>
                <w:szCs w:val="14"/>
              </w:rPr>
            </w:pPr>
            <w:r w:rsidRPr="00B932F5">
              <w:rPr>
                <w:color w:val="000000" w:themeColor="text1"/>
                <w:sz w:val="14"/>
                <w:szCs w:val="14"/>
              </w:rPr>
              <w:t>Nauru</w:t>
            </w:r>
            <w:r w:rsidR="00630C5F">
              <w:rPr>
                <w:color w:val="000000" w:themeColor="text1"/>
                <w:sz w:val="14"/>
                <w:szCs w:val="14"/>
              </w:rPr>
              <w:t xml:space="preserve"> (S)</w:t>
            </w:r>
          </w:p>
        </w:tc>
        <w:tc>
          <w:tcPr>
            <w:tcW w:w="1701" w:type="dxa"/>
          </w:tcPr>
          <w:p w14:paraId="19322D6E" w14:textId="0E7F8D5F" w:rsidR="00B10548" w:rsidRPr="00B932F5" w:rsidRDefault="00782DBC" w:rsidP="00B932F5">
            <w:pPr>
              <w:pStyle w:val="BodyText"/>
              <w:spacing w:before="100" w:beforeAutospacing="1" w:after="120"/>
              <w:ind w:right="111"/>
              <w:rPr>
                <w:color w:val="000000" w:themeColor="text1"/>
                <w:sz w:val="14"/>
                <w:szCs w:val="14"/>
              </w:rPr>
            </w:pPr>
            <w:r>
              <w:rPr>
                <w:color w:val="000000" w:themeColor="text1"/>
                <w:sz w:val="14"/>
                <w:szCs w:val="14"/>
              </w:rPr>
              <w:t>50% by 2020</w:t>
            </w:r>
          </w:p>
        </w:tc>
        <w:tc>
          <w:tcPr>
            <w:tcW w:w="1512" w:type="dxa"/>
          </w:tcPr>
          <w:p w14:paraId="350593C0" w14:textId="1F4FAA1B" w:rsidR="00B10548" w:rsidRPr="00B932F5" w:rsidRDefault="00A426E8" w:rsidP="00B932F5">
            <w:pPr>
              <w:pStyle w:val="BodyText"/>
              <w:spacing w:before="100" w:beforeAutospacing="1" w:after="120"/>
              <w:ind w:right="111"/>
              <w:rPr>
                <w:color w:val="000000" w:themeColor="text1"/>
                <w:sz w:val="14"/>
                <w:szCs w:val="14"/>
              </w:rPr>
            </w:pPr>
            <w:r>
              <w:rPr>
                <w:color w:val="000000" w:themeColor="text1"/>
                <w:sz w:val="14"/>
                <w:szCs w:val="14"/>
              </w:rPr>
              <w:t>1GWh (2%)</w:t>
            </w:r>
          </w:p>
        </w:tc>
        <w:tc>
          <w:tcPr>
            <w:tcW w:w="1134" w:type="dxa"/>
          </w:tcPr>
          <w:p w14:paraId="3235C3BC" w14:textId="3BFCD664" w:rsidR="00B10548" w:rsidRPr="00B932F5" w:rsidRDefault="00A426E8" w:rsidP="00B932F5">
            <w:pPr>
              <w:pStyle w:val="BodyText"/>
              <w:spacing w:before="100" w:beforeAutospacing="1" w:after="120"/>
              <w:ind w:right="111"/>
              <w:rPr>
                <w:color w:val="000000" w:themeColor="text1"/>
                <w:sz w:val="14"/>
                <w:szCs w:val="14"/>
              </w:rPr>
            </w:pPr>
            <w:r>
              <w:rPr>
                <w:color w:val="000000" w:themeColor="text1"/>
                <w:sz w:val="14"/>
                <w:szCs w:val="14"/>
              </w:rPr>
              <w:t>1MW (5%)</w:t>
            </w:r>
          </w:p>
        </w:tc>
        <w:tc>
          <w:tcPr>
            <w:tcW w:w="1701" w:type="dxa"/>
          </w:tcPr>
          <w:p w14:paraId="3CDDEA9D" w14:textId="51AB216E" w:rsidR="00B10548" w:rsidRPr="00B932F5" w:rsidRDefault="00A426E8" w:rsidP="00B932F5">
            <w:pPr>
              <w:pStyle w:val="BodyText"/>
              <w:spacing w:before="100" w:beforeAutospacing="1" w:after="120"/>
              <w:ind w:right="111"/>
              <w:rPr>
                <w:color w:val="000000" w:themeColor="text1"/>
                <w:sz w:val="14"/>
                <w:szCs w:val="14"/>
              </w:rPr>
            </w:pPr>
            <w:r>
              <w:rPr>
                <w:color w:val="000000" w:themeColor="text1"/>
                <w:sz w:val="14"/>
                <w:szCs w:val="14"/>
              </w:rPr>
              <w:t>44MW to 54MW</w:t>
            </w:r>
          </w:p>
        </w:tc>
        <w:tc>
          <w:tcPr>
            <w:tcW w:w="1590" w:type="dxa"/>
          </w:tcPr>
          <w:p w14:paraId="03EFD287" w14:textId="0BA0D2DE" w:rsidR="00B10548" w:rsidRPr="00B932F5" w:rsidRDefault="008100BC" w:rsidP="00B932F5">
            <w:pPr>
              <w:pStyle w:val="BodyText"/>
              <w:spacing w:before="100" w:beforeAutospacing="1" w:after="120"/>
              <w:ind w:right="111"/>
              <w:rPr>
                <w:color w:val="000000" w:themeColor="text1"/>
                <w:sz w:val="14"/>
                <w:szCs w:val="14"/>
              </w:rPr>
            </w:pPr>
            <w:r>
              <w:rPr>
                <w:color w:val="000000" w:themeColor="text1"/>
                <w:sz w:val="14"/>
                <w:szCs w:val="14"/>
              </w:rPr>
              <w:t>US$120 – 150m</w:t>
            </w:r>
          </w:p>
        </w:tc>
      </w:tr>
      <w:tr w:rsidR="008100BC" w14:paraId="68C57AF6" w14:textId="226C3ED1" w:rsidTr="00532DB1">
        <w:trPr>
          <w:trHeight w:val="462"/>
          <w:jc w:val="center"/>
        </w:trPr>
        <w:tc>
          <w:tcPr>
            <w:tcW w:w="1838" w:type="dxa"/>
          </w:tcPr>
          <w:p w14:paraId="7A1ECC1F" w14:textId="103C6093"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Niue</w:t>
            </w:r>
            <w:r>
              <w:rPr>
                <w:color w:val="000000" w:themeColor="text1"/>
                <w:sz w:val="14"/>
                <w:szCs w:val="14"/>
              </w:rPr>
              <w:t xml:space="preserve"> (S)</w:t>
            </w:r>
          </w:p>
        </w:tc>
        <w:tc>
          <w:tcPr>
            <w:tcW w:w="1701" w:type="dxa"/>
          </w:tcPr>
          <w:p w14:paraId="0A89C66A" w14:textId="1230B85C"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80% by 2025</w:t>
            </w:r>
          </w:p>
        </w:tc>
        <w:tc>
          <w:tcPr>
            <w:tcW w:w="1512" w:type="dxa"/>
          </w:tcPr>
          <w:p w14:paraId="628D7B71" w14:textId="19179951"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&lt;1MW (14%)</w:t>
            </w:r>
          </w:p>
        </w:tc>
        <w:tc>
          <w:tcPr>
            <w:tcW w:w="1134" w:type="dxa"/>
          </w:tcPr>
          <w:p w14:paraId="2738D9D9" w14:textId="0F2E8837"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1MW (31%)</w:t>
            </w:r>
          </w:p>
        </w:tc>
        <w:tc>
          <w:tcPr>
            <w:tcW w:w="1701" w:type="dxa"/>
          </w:tcPr>
          <w:p w14:paraId="1450754A" w14:textId="2E16E289"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 xml:space="preserve">5MW to 7MW </w:t>
            </w:r>
          </w:p>
        </w:tc>
        <w:tc>
          <w:tcPr>
            <w:tcW w:w="1590" w:type="dxa"/>
          </w:tcPr>
          <w:p w14:paraId="2DB28D20" w14:textId="3A98C6BB"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 xml:space="preserve">US$15– 20m </w:t>
            </w:r>
          </w:p>
        </w:tc>
      </w:tr>
      <w:tr w:rsidR="008100BC" w14:paraId="0CB73021" w14:textId="35DCDD1E" w:rsidTr="00532DB1">
        <w:trPr>
          <w:trHeight w:val="462"/>
          <w:jc w:val="center"/>
        </w:trPr>
        <w:tc>
          <w:tcPr>
            <w:tcW w:w="1838" w:type="dxa"/>
          </w:tcPr>
          <w:p w14:paraId="01E14178" w14:textId="27FEF7D9"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Palau</w:t>
            </w:r>
            <w:r>
              <w:rPr>
                <w:color w:val="000000" w:themeColor="text1"/>
                <w:sz w:val="14"/>
                <w:szCs w:val="14"/>
              </w:rPr>
              <w:t xml:space="preserve"> (S)</w:t>
            </w:r>
          </w:p>
        </w:tc>
        <w:tc>
          <w:tcPr>
            <w:tcW w:w="1701" w:type="dxa"/>
          </w:tcPr>
          <w:p w14:paraId="39995596" w14:textId="5D5188B5"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45% by 2025</w:t>
            </w:r>
          </w:p>
        </w:tc>
        <w:tc>
          <w:tcPr>
            <w:tcW w:w="1512" w:type="dxa"/>
          </w:tcPr>
          <w:p w14:paraId="4A752FCA" w14:textId="206B5EE0"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2GWh (2%)</w:t>
            </w:r>
          </w:p>
        </w:tc>
        <w:tc>
          <w:tcPr>
            <w:tcW w:w="1134" w:type="dxa"/>
          </w:tcPr>
          <w:p w14:paraId="61254263" w14:textId="16FF60E1"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1MW (4%)</w:t>
            </w:r>
          </w:p>
        </w:tc>
        <w:tc>
          <w:tcPr>
            <w:tcW w:w="1701" w:type="dxa"/>
          </w:tcPr>
          <w:p w14:paraId="2266F625" w14:textId="4E8AF04D"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44MW to 54MW</w:t>
            </w:r>
          </w:p>
        </w:tc>
        <w:tc>
          <w:tcPr>
            <w:tcW w:w="1590" w:type="dxa"/>
          </w:tcPr>
          <w:p w14:paraId="751B8F3A" w14:textId="28CDFFE4"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US$120 – 150m</w:t>
            </w:r>
          </w:p>
        </w:tc>
      </w:tr>
      <w:tr w:rsidR="008100BC" w14:paraId="753FF93B" w14:textId="3D52A147" w:rsidTr="00532DB1">
        <w:trPr>
          <w:trHeight w:val="462"/>
          <w:jc w:val="center"/>
        </w:trPr>
        <w:tc>
          <w:tcPr>
            <w:tcW w:w="1838" w:type="dxa"/>
          </w:tcPr>
          <w:p w14:paraId="3921AFE7" w14:textId="4A033ADD"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Papua New Guinea</w:t>
            </w:r>
            <w:r>
              <w:rPr>
                <w:color w:val="000000" w:themeColor="text1"/>
                <w:sz w:val="14"/>
                <w:szCs w:val="14"/>
              </w:rPr>
              <w:t xml:space="preserve"> (H) (G) (B) (S)</w:t>
            </w:r>
          </w:p>
        </w:tc>
        <w:tc>
          <w:tcPr>
            <w:tcW w:w="1701" w:type="dxa"/>
          </w:tcPr>
          <w:p w14:paraId="5C65FE64" w14:textId="687FFF48"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100% by 2030</w:t>
            </w:r>
          </w:p>
        </w:tc>
        <w:tc>
          <w:tcPr>
            <w:tcW w:w="1512" w:type="dxa"/>
          </w:tcPr>
          <w:p w14:paraId="4FDD3B7D" w14:textId="419B33F6"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1,318GWh (62%)</w:t>
            </w:r>
          </w:p>
        </w:tc>
        <w:tc>
          <w:tcPr>
            <w:tcW w:w="1134" w:type="dxa"/>
          </w:tcPr>
          <w:p w14:paraId="1A0EC8E5" w14:textId="2A0457D6"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333MW (32%)</w:t>
            </w:r>
          </w:p>
        </w:tc>
        <w:tc>
          <w:tcPr>
            <w:tcW w:w="1701" w:type="dxa"/>
          </w:tcPr>
          <w:p w14:paraId="3731ACC4" w14:textId="5D52DFC5"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184MW to 224MW</w:t>
            </w:r>
          </w:p>
        </w:tc>
        <w:tc>
          <w:tcPr>
            <w:tcW w:w="1590" w:type="dxa"/>
          </w:tcPr>
          <w:p w14:paraId="2601E85A" w14:textId="6C90D107"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 xml:space="preserve">US$510 – 620m </w:t>
            </w:r>
          </w:p>
        </w:tc>
      </w:tr>
      <w:tr w:rsidR="008100BC" w14:paraId="21808B1E" w14:textId="323B8A15" w:rsidTr="00532DB1">
        <w:trPr>
          <w:trHeight w:val="462"/>
          <w:jc w:val="center"/>
        </w:trPr>
        <w:tc>
          <w:tcPr>
            <w:tcW w:w="1838" w:type="dxa"/>
          </w:tcPr>
          <w:p w14:paraId="3AAE0B6E" w14:textId="45A7E00B"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Samoa</w:t>
            </w:r>
            <w:r>
              <w:rPr>
                <w:color w:val="000000" w:themeColor="text1"/>
                <w:sz w:val="14"/>
                <w:szCs w:val="14"/>
              </w:rPr>
              <w:t xml:space="preserve"> (H) (S) (W)</w:t>
            </w:r>
          </w:p>
        </w:tc>
        <w:tc>
          <w:tcPr>
            <w:tcW w:w="1701" w:type="dxa"/>
          </w:tcPr>
          <w:p w14:paraId="41F95759" w14:textId="237F6B35"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100% by 2025</w:t>
            </w:r>
          </w:p>
        </w:tc>
        <w:tc>
          <w:tcPr>
            <w:tcW w:w="1512" w:type="dxa"/>
          </w:tcPr>
          <w:p w14:paraId="1598C9C0" w14:textId="52187FB2"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64GWh (42%)</w:t>
            </w:r>
          </w:p>
        </w:tc>
        <w:tc>
          <w:tcPr>
            <w:tcW w:w="1134" w:type="dxa"/>
          </w:tcPr>
          <w:p w14:paraId="0CAE7274" w14:textId="6209EAA3"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28MW (47%)</w:t>
            </w:r>
          </w:p>
        </w:tc>
        <w:tc>
          <w:tcPr>
            <w:tcW w:w="1701" w:type="dxa"/>
          </w:tcPr>
          <w:p w14:paraId="147DF12C" w14:textId="143DE7CA"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35MW to 42MW</w:t>
            </w:r>
          </w:p>
        </w:tc>
        <w:tc>
          <w:tcPr>
            <w:tcW w:w="1590" w:type="dxa"/>
          </w:tcPr>
          <w:p w14:paraId="312D02C0" w14:textId="0AAFF39B"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US$100 – 120m</w:t>
            </w:r>
          </w:p>
        </w:tc>
      </w:tr>
      <w:tr w:rsidR="008100BC" w14:paraId="1D6DBF98" w14:textId="26CF3F4B" w:rsidTr="00532DB1">
        <w:trPr>
          <w:trHeight w:val="462"/>
          <w:jc w:val="center"/>
        </w:trPr>
        <w:tc>
          <w:tcPr>
            <w:tcW w:w="1838" w:type="dxa"/>
          </w:tcPr>
          <w:p w14:paraId="2C27A116" w14:textId="7DE3A6FA"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Solomon Islands</w:t>
            </w:r>
            <w:r>
              <w:rPr>
                <w:color w:val="000000" w:themeColor="text1"/>
                <w:sz w:val="14"/>
                <w:szCs w:val="14"/>
              </w:rPr>
              <w:t xml:space="preserve"> (S) (B) (H)</w:t>
            </w:r>
          </w:p>
        </w:tc>
        <w:tc>
          <w:tcPr>
            <w:tcW w:w="1701" w:type="dxa"/>
          </w:tcPr>
          <w:p w14:paraId="075B962C" w14:textId="123B0827"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79% by 2030</w:t>
            </w:r>
          </w:p>
        </w:tc>
        <w:tc>
          <w:tcPr>
            <w:tcW w:w="1512" w:type="dxa"/>
          </w:tcPr>
          <w:p w14:paraId="5F9CCCE8" w14:textId="70D9F32A"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7GWh (6%)</w:t>
            </w:r>
          </w:p>
        </w:tc>
        <w:tc>
          <w:tcPr>
            <w:tcW w:w="1134" w:type="dxa"/>
          </w:tcPr>
          <w:p w14:paraId="387CEBA4" w14:textId="7BE3D1EA"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4MW (5%)</w:t>
            </w:r>
          </w:p>
        </w:tc>
        <w:tc>
          <w:tcPr>
            <w:tcW w:w="1701" w:type="dxa"/>
          </w:tcPr>
          <w:p w14:paraId="2DAD8894" w14:textId="13917C57"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56MW to 69MW</w:t>
            </w:r>
          </w:p>
        </w:tc>
        <w:tc>
          <w:tcPr>
            <w:tcW w:w="1590" w:type="dxa"/>
          </w:tcPr>
          <w:p w14:paraId="77BBD4EB" w14:textId="6ECA936D"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US$</w:t>
            </w:r>
            <w:r w:rsidR="00126275">
              <w:rPr>
                <w:color w:val="000000" w:themeColor="text1"/>
                <w:sz w:val="14"/>
                <w:szCs w:val="14"/>
              </w:rPr>
              <w:t>160 – 190m</w:t>
            </w:r>
          </w:p>
        </w:tc>
      </w:tr>
      <w:tr w:rsidR="008100BC" w14:paraId="595AC3A6" w14:textId="4C86A946" w:rsidTr="00532DB1">
        <w:trPr>
          <w:trHeight w:val="462"/>
          <w:jc w:val="center"/>
        </w:trPr>
        <w:tc>
          <w:tcPr>
            <w:tcW w:w="1838" w:type="dxa"/>
          </w:tcPr>
          <w:p w14:paraId="3EF514A6" w14:textId="7201A129"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Tonga</w:t>
            </w:r>
            <w:r>
              <w:rPr>
                <w:color w:val="000000" w:themeColor="text1"/>
                <w:sz w:val="14"/>
                <w:szCs w:val="14"/>
              </w:rPr>
              <w:t xml:space="preserve"> (S) (W)</w:t>
            </w:r>
          </w:p>
        </w:tc>
        <w:tc>
          <w:tcPr>
            <w:tcW w:w="1701" w:type="dxa"/>
          </w:tcPr>
          <w:p w14:paraId="5B2609FB" w14:textId="73AE62A7"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50% by 2020</w:t>
            </w:r>
          </w:p>
        </w:tc>
        <w:tc>
          <w:tcPr>
            <w:tcW w:w="1512" w:type="dxa"/>
          </w:tcPr>
          <w:p w14:paraId="5D59CEAE" w14:textId="25BFDE3B"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7GWh (10%)</w:t>
            </w:r>
          </w:p>
        </w:tc>
        <w:tc>
          <w:tcPr>
            <w:tcW w:w="1134" w:type="dxa"/>
          </w:tcPr>
          <w:p w14:paraId="2593CB47" w14:textId="2FE6F6F9"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8MW (30%)</w:t>
            </w:r>
          </w:p>
        </w:tc>
        <w:tc>
          <w:tcPr>
            <w:tcW w:w="1701" w:type="dxa"/>
          </w:tcPr>
          <w:p w14:paraId="516B99D9" w14:textId="1DA66E28"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65MW to 79MW</w:t>
            </w:r>
          </w:p>
        </w:tc>
        <w:tc>
          <w:tcPr>
            <w:tcW w:w="1590" w:type="dxa"/>
          </w:tcPr>
          <w:p w14:paraId="6518C15D" w14:textId="273F7216" w:rsidR="008100BC" w:rsidRPr="00B932F5" w:rsidRDefault="00126275" w:rsidP="008100BC">
            <w:pPr>
              <w:pStyle w:val="BodyText"/>
              <w:spacing w:before="100" w:beforeAutospacing="1" w:after="120"/>
              <w:ind w:right="111"/>
              <w:rPr>
                <w:color w:val="000000" w:themeColor="text1"/>
                <w:sz w:val="14"/>
                <w:szCs w:val="14"/>
              </w:rPr>
            </w:pPr>
            <w:r>
              <w:rPr>
                <w:color w:val="000000" w:themeColor="text1"/>
                <w:sz w:val="14"/>
                <w:szCs w:val="14"/>
              </w:rPr>
              <w:t>US$180 – 220m</w:t>
            </w:r>
          </w:p>
        </w:tc>
      </w:tr>
      <w:tr w:rsidR="008100BC" w14:paraId="5D851DF0" w14:textId="01BEEBF3" w:rsidTr="00532DB1">
        <w:trPr>
          <w:trHeight w:val="462"/>
          <w:jc w:val="center"/>
        </w:trPr>
        <w:tc>
          <w:tcPr>
            <w:tcW w:w="1838" w:type="dxa"/>
          </w:tcPr>
          <w:p w14:paraId="5D10926D" w14:textId="2E7D5E46"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Tuvalu</w:t>
            </w:r>
            <w:r>
              <w:rPr>
                <w:color w:val="000000" w:themeColor="text1"/>
                <w:sz w:val="14"/>
                <w:szCs w:val="14"/>
              </w:rPr>
              <w:t xml:space="preserve"> (S)</w:t>
            </w:r>
          </w:p>
        </w:tc>
        <w:tc>
          <w:tcPr>
            <w:tcW w:w="1701" w:type="dxa"/>
          </w:tcPr>
          <w:p w14:paraId="5FCE3ED4" w14:textId="0D558437"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100% by 2020</w:t>
            </w:r>
          </w:p>
        </w:tc>
        <w:tc>
          <w:tcPr>
            <w:tcW w:w="1512" w:type="dxa"/>
          </w:tcPr>
          <w:p w14:paraId="064D460D" w14:textId="1491AAAD"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2GWh (23%)</w:t>
            </w:r>
          </w:p>
        </w:tc>
        <w:tc>
          <w:tcPr>
            <w:tcW w:w="1134" w:type="dxa"/>
          </w:tcPr>
          <w:p w14:paraId="00B7D4F4" w14:textId="4DD70A59"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3MW (42%)</w:t>
            </w:r>
          </w:p>
        </w:tc>
        <w:tc>
          <w:tcPr>
            <w:tcW w:w="1701" w:type="dxa"/>
          </w:tcPr>
          <w:p w14:paraId="3BC3969F" w14:textId="5C3A5EA6"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9MW to 11MW</w:t>
            </w:r>
            <w:r>
              <w:rPr>
                <w:color w:val="000000" w:themeColor="text1"/>
                <w:sz w:val="14"/>
                <w:szCs w:val="14"/>
              </w:rPr>
              <w:tab/>
            </w:r>
          </w:p>
        </w:tc>
        <w:tc>
          <w:tcPr>
            <w:tcW w:w="1590" w:type="dxa"/>
          </w:tcPr>
          <w:p w14:paraId="146E709E" w14:textId="58A0F74C" w:rsidR="008100BC" w:rsidRPr="00B932F5" w:rsidRDefault="00126275" w:rsidP="008100BC">
            <w:pPr>
              <w:pStyle w:val="BodyText"/>
              <w:spacing w:before="100" w:beforeAutospacing="1" w:after="120"/>
              <w:ind w:right="111"/>
              <w:rPr>
                <w:color w:val="000000" w:themeColor="text1"/>
                <w:sz w:val="14"/>
                <w:szCs w:val="14"/>
              </w:rPr>
            </w:pPr>
            <w:r>
              <w:rPr>
                <w:color w:val="000000" w:themeColor="text1"/>
                <w:sz w:val="14"/>
                <w:szCs w:val="14"/>
              </w:rPr>
              <w:t>US$25 – 30m</w:t>
            </w:r>
          </w:p>
        </w:tc>
      </w:tr>
      <w:tr w:rsidR="008100BC" w14:paraId="31C77441" w14:textId="6BE31EBC" w:rsidTr="00E615D1">
        <w:trPr>
          <w:trHeight w:val="462"/>
          <w:jc w:val="center"/>
        </w:trPr>
        <w:tc>
          <w:tcPr>
            <w:tcW w:w="1838" w:type="dxa"/>
            <w:shd w:val="clear" w:color="auto" w:fill="FFFF00"/>
          </w:tcPr>
          <w:p w14:paraId="1B0CF8ED" w14:textId="71203B25" w:rsidR="008100BC" w:rsidRPr="00B932F5" w:rsidRDefault="008100BC" w:rsidP="008100BC">
            <w:pPr>
              <w:pStyle w:val="BodyText"/>
              <w:spacing w:before="100" w:beforeAutospacing="1" w:after="120"/>
              <w:ind w:right="111"/>
              <w:rPr>
                <w:color w:val="000000" w:themeColor="text1"/>
                <w:sz w:val="14"/>
                <w:szCs w:val="14"/>
              </w:rPr>
            </w:pPr>
            <w:r w:rsidRPr="00B932F5">
              <w:rPr>
                <w:color w:val="000000" w:themeColor="text1"/>
                <w:sz w:val="14"/>
                <w:szCs w:val="14"/>
              </w:rPr>
              <w:t xml:space="preserve">Vanuatu </w:t>
            </w:r>
            <w:r>
              <w:rPr>
                <w:color w:val="000000" w:themeColor="text1"/>
                <w:sz w:val="14"/>
                <w:szCs w:val="14"/>
              </w:rPr>
              <w:t>(W) (S) (B) (H)</w:t>
            </w:r>
          </w:p>
        </w:tc>
        <w:tc>
          <w:tcPr>
            <w:tcW w:w="1701" w:type="dxa"/>
            <w:shd w:val="clear" w:color="auto" w:fill="FFFF00"/>
          </w:tcPr>
          <w:p w14:paraId="5BB65C03" w14:textId="367CE4ED"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100% by 2030</w:t>
            </w:r>
          </w:p>
        </w:tc>
        <w:tc>
          <w:tcPr>
            <w:tcW w:w="1512" w:type="dxa"/>
            <w:shd w:val="clear" w:color="auto" w:fill="FFFF00"/>
          </w:tcPr>
          <w:p w14:paraId="7DF4C21B" w14:textId="3EBE4DEA"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17GWh (22%)</w:t>
            </w:r>
          </w:p>
        </w:tc>
        <w:tc>
          <w:tcPr>
            <w:tcW w:w="1134" w:type="dxa"/>
            <w:shd w:val="clear" w:color="auto" w:fill="FFFF00"/>
          </w:tcPr>
          <w:p w14:paraId="3DC93104" w14:textId="1D9C8FF1"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10MW (30%)</w:t>
            </w:r>
          </w:p>
        </w:tc>
        <w:tc>
          <w:tcPr>
            <w:tcW w:w="1701" w:type="dxa"/>
            <w:shd w:val="clear" w:color="auto" w:fill="FFFF00"/>
          </w:tcPr>
          <w:p w14:paraId="24DE0B58" w14:textId="279B56C9" w:rsidR="008100BC" w:rsidRPr="00B932F5" w:rsidRDefault="008100BC" w:rsidP="008100BC">
            <w:pPr>
              <w:pStyle w:val="BodyText"/>
              <w:spacing w:before="100" w:beforeAutospacing="1" w:after="120"/>
              <w:ind w:right="111"/>
              <w:rPr>
                <w:color w:val="000000" w:themeColor="text1"/>
                <w:sz w:val="14"/>
                <w:szCs w:val="14"/>
              </w:rPr>
            </w:pPr>
            <w:r>
              <w:rPr>
                <w:color w:val="000000" w:themeColor="text1"/>
                <w:sz w:val="14"/>
                <w:szCs w:val="14"/>
              </w:rPr>
              <w:t>32MW to 39MW</w:t>
            </w:r>
          </w:p>
        </w:tc>
        <w:tc>
          <w:tcPr>
            <w:tcW w:w="1590" w:type="dxa"/>
            <w:shd w:val="clear" w:color="auto" w:fill="FFFF00"/>
          </w:tcPr>
          <w:p w14:paraId="031F1221" w14:textId="57A611E0" w:rsidR="008100BC" w:rsidRPr="00B932F5" w:rsidRDefault="00126275" w:rsidP="008100BC">
            <w:pPr>
              <w:pStyle w:val="BodyText"/>
              <w:spacing w:before="100" w:beforeAutospacing="1" w:after="120"/>
              <w:ind w:right="111"/>
              <w:rPr>
                <w:color w:val="000000" w:themeColor="text1"/>
                <w:sz w:val="14"/>
                <w:szCs w:val="14"/>
              </w:rPr>
            </w:pPr>
            <w:r>
              <w:rPr>
                <w:color w:val="000000" w:themeColor="text1"/>
                <w:sz w:val="14"/>
                <w:szCs w:val="14"/>
              </w:rPr>
              <w:t>US$90 – 110m</w:t>
            </w:r>
          </w:p>
        </w:tc>
      </w:tr>
    </w:tbl>
    <w:p w14:paraId="6DF81F73" w14:textId="543A5F03" w:rsidR="00532DB1" w:rsidRDefault="00532DB1" w:rsidP="004543BB">
      <w:pPr>
        <w:pStyle w:val="Title"/>
        <w:rPr>
          <w:sz w:val="24"/>
          <w:szCs w:val="24"/>
        </w:rPr>
      </w:pPr>
    </w:p>
    <w:sectPr w:rsidR="00532DB1">
      <w:headerReference w:type="even" r:id="rId8"/>
      <w:headerReference w:type="default" r:id="rId9"/>
      <w:footerReference w:type="even" r:id="rId10"/>
      <w:footerReference w:type="default" r:id="rId11"/>
      <w:headerReference w:type="first" r:id="rId12"/>
      <w:footerReference w:type="first" r:id="rId13"/>
      <w:pgSz w:w="11910" w:h="16840"/>
      <w:pgMar w:top="1660" w:right="1320" w:bottom="280" w:left="1340" w:header="4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19F8" w14:textId="77777777" w:rsidR="0053260A" w:rsidRDefault="0053260A">
      <w:r>
        <w:separator/>
      </w:r>
    </w:p>
  </w:endnote>
  <w:endnote w:type="continuationSeparator" w:id="0">
    <w:p w14:paraId="2B4AD715"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4FB6" w14:textId="77777777" w:rsidR="00B24525" w:rsidRDefault="00B24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98A0" w14:textId="77777777" w:rsidR="00B24525" w:rsidRDefault="00B24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2820" w14:textId="77777777" w:rsidR="00B24525" w:rsidRDefault="00B2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C737" w14:textId="77777777" w:rsidR="0053260A" w:rsidRDefault="0053260A">
      <w:r>
        <w:separator/>
      </w:r>
    </w:p>
  </w:footnote>
  <w:footnote w:type="continuationSeparator" w:id="0">
    <w:p w14:paraId="65CD6CF1" w14:textId="77777777" w:rsidR="0053260A" w:rsidRDefault="0053260A">
      <w:r>
        <w:continuationSeparator/>
      </w:r>
    </w:p>
  </w:footnote>
  <w:footnote w:id="1">
    <w:p w14:paraId="012ED1C0" w14:textId="444F42B3" w:rsidR="00782DBC" w:rsidRPr="00E969B8" w:rsidRDefault="00782DBC">
      <w:pPr>
        <w:pStyle w:val="FootnoteText"/>
        <w:rPr>
          <w:sz w:val="15"/>
          <w:lang w:val="en-AU"/>
        </w:rPr>
      </w:pPr>
      <w:r>
        <w:rPr>
          <w:rStyle w:val="FootnoteReference"/>
        </w:rPr>
        <w:footnoteRef/>
      </w:r>
      <w:r>
        <w:t xml:space="preserve"> </w:t>
      </w:r>
      <w:r w:rsidRPr="00E969B8">
        <w:rPr>
          <w:sz w:val="15"/>
          <w:lang w:val="en-AU"/>
        </w:rPr>
        <w:t>Sourced from IRENA statistical profiles</w:t>
      </w:r>
      <w:r w:rsidR="00126275">
        <w:rPr>
          <w:sz w:val="15"/>
          <w:lang w:val="en-AU"/>
        </w:rPr>
        <w:t xml:space="preserve"> </w:t>
      </w:r>
    </w:p>
  </w:footnote>
  <w:footnote w:id="2">
    <w:p w14:paraId="0B3C1D29" w14:textId="66719FAE" w:rsidR="005E117E" w:rsidRPr="00E969B8" w:rsidRDefault="005E117E">
      <w:pPr>
        <w:pStyle w:val="FootnoteText"/>
        <w:rPr>
          <w:sz w:val="15"/>
          <w:lang w:val="en-AU"/>
        </w:rPr>
      </w:pPr>
      <w:r w:rsidRPr="00E969B8">
        <w:rPr>
          <w:rStyle w:val="FootnoteReference"/>
          <w:sz w:val="15"/>
        </w:rPr>
        <w:footnoteRef/>
      </w:r>
      <w:r w:rsidRPr="00E969B8">
        <w:rPr>
          <w:sz w:val="15"/>
        </w:rPr>
        <w:t xml:space="preserve"> </w:t>
      </w:r>
      <w:r w:rsidRPr="00E969B8">
        <w:rPr>
          <w:sz w:val="15"/>
          <w:lang w:val="en-AU"/>
        </w:rPr>
        <w:t>Renewable energy generation in 2018</w:t>
      </w:r>
    </w:p>
  </w:footnote>
  <w:footnote w:id="3">
    <w:p w14:paraId="3C01D40C" w14:textId="6964C742" w:rsidR="005E117E" w:rsidRPr="00E969B8" w:rsidRDefault="005E117E">
      <w:pPr>
        <w:pStyle w:val="FootnoteText"/>
        <w:rPr>
          <w:sz w:val="15"/>
          <w:lang w:val="en-AU"/>
        </w:rPr>
      </w:pPr>
      <w:r w:rsidRPr="00E969B8">
        <w:rPr>
          <w:rStyle w:val="FootnoteReference"/>
          <w:sz w:val="15"/>
        </w:rPr>
        <w:footnoteRef/>
      </w:r>
      <w:r w:rsidRPr="00E969B8">
        <w:rPr>
          <w:sz w:val="15"/>
        </w:rPr>
        <w:t xml:space="preserve"> Installed capacity as at 2019 </w:t>
      </w:r>
    </w:p>
  </w:footnote>
  <w:footnote w:id="4">
    <w:p w14:paraId="5AA087E1" w14:textId="52BDCDFE" w:rsidR="002A07A4" w:rsidRPr="00532DB1" w:rsidRDefault="002A07A4">
      <w:pPr>
        <w:pStyle w:val="FootnoteText"/>
        <w:rPr>
          <w:lang w:val="en-AU"/>
        </w:rPr>
      </w:pPr>
      <w:r w:rsidRPr="00E969B8">
        <w:rPr>
          <w:rStyle w:val="FootnoteReference"/>
          <w:sz w:val="15"/>
        </w:rPr>
        <w:footnoteRef/>
      </w:r>
      <w:r w:rsidRPr="00E969B8">
        <w:rPr>
          <w:sz w:val="15"/>
        </w:rPr>
        <w:t xml:space="preserve"> </w:t>
      </w:r>
      <w:r w:rsidRPr="00E969B8">
        <w:rPr>
          <w:sz w:val="15"/>
          <w:lang w:val="en-AU"/>
        </w:rPr>
        <w:t>PCREEE estimate</w:t>
      </w:r>
      <w:r w:rsidR="00A426E8" w:rsidRPr="00E969B8">
        <w:rPr>
          <w:sz w:val="15"/>
          <w:lang w:val="en-AU"/>
        </w:rPr>
        <w:t xml:space="preserve"> to meet 100% RE generation</w:t>
      </w:r>
      <w:r w:rsidR="008A1695" w:rsidRPr="00E969B8">
        <w:rPr>
          <w:sz w:val="15"/>
          <w:lang w:val="en-AU"/>
        </w:rPr>
        <w:t>, assuming a constant RE mix and historical capacity factor</w:t>
      </w:r>
    </w:p>
  </w:footnote>
  <w:footnote w:id="5">
    <w:p w14:paraId="624568F3" w14:textId="4D078D88" w:rsidR="00126275" w:rsidRPr="00532DB1" w:rsidRDefault="00126275" w:rsidP="00126275">
      <w:pPr>
        <w:pStyle w:val="FootnoteText"/>
        <w:rPr>
          <w:lang w:val="en-AU"/>
        </w:rPr>
      </w:pPr>
      <w:r w:rsidRPr="00E969B8">
        <w:rPr>
          <w:rStyle w:val="FootnoteReference"/>
          <w:sz w:val="15"/>
        </w:rPr>
        <w:footnoteRef/>
      </w:r>
      <w:r w:rsidRPr="00E969B8">
        <w:rPr>
          <w:sz w:val="15"/>
        </w:rPr>
        <w:t xml:space="preserve"> </w:t>
      </w:r>
      <w:r w:rsidRPr="00E969B8">
        <w:rPr>
          <w:sz w:val="15"/>
          <w:lang w:val="en-AU"/>
        </w:rPr>
        <w:t xml:space="preserve">PCREEE estimate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9A7E" w14:textId="77777777" w:rsidR="00B24525" w:rsidRDefault="00B24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43A5" w14:textId="1B636974" w:rsidR="00A5454C" w:rsidRDefault="00EE7DCD">
    <w:pPr>
      <w:pStyle w:val="BodyText"/>
      <w:spacing w:line="14" w:lineRule="auto"/>
      <w:rPr>
        <w:sz w:val="20"/>
      </w:rPr>
    </w:pPr>
    <w:r>
      <w:rPr>
        <w:noProof/>
      </w:rPr>
      <w:drawing>
        <wp:anchor distT="0" distB="0" distL="0" distR="0" simplePos="0" relativeHeight="487523328" behindDoc="1" locked="0" layoutInCell="1" allowOverlap="1" wp14:anchorId="12AB0A3F" wp14:editId="166AFE86">
          <wp:simplePos x="0" y="0"/>
          <wp:positionH relativeFrom="margin">
            <wp:align>center</wp:align>
          </wp:positionH>
          <wp:positionV relativeFrom="page">
            <wp:posOffset>399415</wp:posOffset>
          </wp:positionV>
          <wp:extent cx="1741771" cy="494665"/>
          <wp:effectExtent l="0" t="0" r="0" b="635"/>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741771" cy="4946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910" w14:textId="77777777" w:rsidR="00B24525" w:rsidRDefault="00B24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6EE6"/>
    <w:multiLevelType w:val="hybridMultilevel"/>
    <w:tmpl w:val="8540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A0C09"/>
    <w:multiLevelType w:val="hybridMultilevel"/>
    <w:tmpl w:val="C426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1C54"/>
    <w:multiLevelType w:val="hybridMultilevel"/>
    <w:tmpl w:val="F4F2795E"/>
    <w:lvl w:ilvl="0" w:tplc="76609BCE">
      <w:start w:val="1"/>
      <w:numFmt w:val="lowerLetter"/>
      <w:lvlText w:val="%1."/>
      <w:lvlJc w:val="left"/>
      <w:pPr>
        <w:ind w:left="820" w:hanging="360"/>
      </w:pPr>
      <w:rPr>
        <w:rFonts w:ascii="Calibri" w:eastAsia="Calibri" w:hAnsi="Calibri" w:cs="Calibri" w:hint="default"/>
        <w:spacing w:val="-1"/>
        <w:w w:val="100"/>
        <w:sz w:val="22"/>
        <w:szCs w:val="22"/>
        <w:lang w:val="en-US" w:eastAsia="en-US" w:bidi="ar-SA"/>
      </w:rPr>
    </w:lvl>
    <w:lvl w:ilvl="1" w:tplc="B1E40590">
      <w:numFmt w:val="bullet"/>
      <w:lvlText w:val="•"/>
      <w:lvlJc w:val="left"/>
      <w:pPr>
        <w:ind w:left="1662" w:hanging="360"/>
      </w:pPr>
      <w:rPr>
        <w:rFonts w:hint="default"/>
        <w:lang w:val="en-US" w:eastAsia="en-US" w:bidi="ar-SA"/>
      </w:rPr>
    </w:lvl>
    <w:lvl w:ilvl="2" w:tplc="BAE2E2D6">
      <w:numFmt w:val="bullet"/>
      <w:lvlText w:val="•"/>
      <w:lvlJc w:val="left"/>
      <w:pPr>
        <w:ind w:left="2505" w:hanging="360"/>
      </w:pPr>
      <w:rPr>
        <w:rFonts w:hint="default"/>
        <w:lang w:val="en-US" w:eastAsia="en-US" w:bidi="ar-SA"/>
      </w:rPr>
    </w:lvl>
    <w:lvl w:ilvl="3" w:tplc="D04A2188">
      <w:numFmt w:val="bullet"/>
      <w:lvlText w:val="•"/>
      <w:lvlJc w:val="left"/>
      <w:pPr>
        <w:ind w:left="3347" w:hanging="360"/>
      </w:pPr>
      <w:rPr>
        <w:rFonts w:hint="default"/>
        <w:lang w:val="en-US" w:eastAsia="en-US" w:bidi="ar-SA"/>
      </w:rPr>
    </w:lvl>
    <w:lvl w:ilvl="4" w:tplc="BEB47162">
      <w:numFmt w:val="bullet"/>
      <w:lvlText w:val="•"/>
      <w:lvlJc w:val="left"/>
      <w:pPr>
        <w:ind w:left="4190" w:hanging="360"/>
      </w:pPr>
      <w:rPr>
        <w:rFonts w:hint="default"/>
        <w:lang w:val="en-US" w:eastAsia="en-US" w:bidi="ar-SA"/>
      </w:rPr>
    </w:lvl>
    <w:lvl w:ilvl="5" w:tplc="2F4CD492">
      <w:numFmt w:val="bullet"/>
      <w:lvlText w:val="•"/>
      <w:lvlJc w:val="left"/>
      <w:pPr>
        <w:ind w:left="5033" w:hanging="360"/>
      </w:pPr>
      <w:rPr>
        <w:rFonts w:hint="default"/>
        <w:lang w:val="en-US" w:eastAsia="en-US" w:bidi="ar-SA"/>
      </w:rPr>
    </w:lvl>
    <w:lvl w:ilvl="6" w:tplc="7CAE99A0">
      <w:numFmt w:val="bullet"/>
      <w:lvlText w:val="•"/>
      <w:lvlJc w:val="left"/>
      <w:pPr>
        <w:ind w:left="5875" w:hanging="360"/>
      </w:pPr>
      <w:rPr>
        <w:rFonts w:hint="default"/>
        <w:lang w:val="en-US" w:eastAsia="en-US" w:bidi="ar-SA"/>
      </w:rPr>
    </w:lvl>
    <w:lvl w:ilvl="7" w:tplc="1D6ADD22">
      <w:numFmt w:val="bullet"/>
      <w:lvlText w:val="•"/>
      <w:lvlJc w:val="left"/>
      <w:pPr>
        <w:ind w:left="6718" w:hanging="360"/>
      </w:pPr>
      <w:rPr>
        <w:rFonts w:hint="default"/>
        <w:lang w:val="en-US" w:eastAsia="en-US" w:bidi="ar-SA"/>
      </w:rPr>
    </w:lvl>
    <w:lvl w:ilvl="8" w:tplc="ECE23670">
      <w:numFmt w:val="bullet"/>
      <w:lvlText w:val="•"/>
      <w:lvlJc w:val="left"/>
      <w:pPr>
        <w:ind w:left="7561" w:hanging="360"/>
      </w:pPr>
      <w:rPr>
        <w:rFonts w:hint="default"/>
        <w:lang w:val="en-US" w:eastAsia="en-US" w:bidi="ar-SA"/>
      </w:rPr>
    </w:lvl>
  </w:abstractNum>
  <w:abstractNum w:abstractNumId="3" w15:restartNumberingAfterBreak="0">
    <w:nsid w:val="22206EEB"/>
    <w:multiLevelType w:val="hybridMultilevel"/>
    <w:tmpl w:val="47E806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7406DC0"/>
    <w:multiLevelType w:val="hybridMultilevel"/>
    <w:tmpl w:val="7146EA0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BC53C7E"/>
    <w:multiLevelType w:val="hybridMultilevel"/>
    <w:tmpl w:val="B90CA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006A4B"/>
    <w:multiLevelType w:val="hybridMultilevel"/>
    <w:tmpl w:val="1FE01A3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48F6FB3"/>
    <w:multiLevelType w:val="hybridMultilevel"/>
    <w:tmpl w:val="E588534A"/>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8" w15:restartNumberingAfterBreak="0">
    <w:nsid w:val="460326DF"/>
    <w:multiLevelType w:val="hybridMultilevel"/>
    <w:tmpl w:val="014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5304A"/>
    <w:multiLevelType w:val="hybridMultilevel"/>
    <w:tmpl w:val="A524D2B4"/>
    <w:lvl w:ilvl="0" w:tplc="C8C85E80">
      <w:numFmt w:val="bullet"/>
      <w:lvlText w:val="-"/>
      <w:lvlJc w:val="left"/>
      <w:pPr>
        <w:ind w:left="666" w:hanging="425"/>
      </w:pPr>
      <w:rPr>
        <w:rFonts w:ascii="Calibri" w:eastAsia="Calibri" w:hAnsi="Calibri" w:cs="Calibri" w:hint="default"/>
        <w:w w:val="100"/>
        <w:sz w:val="22"/>
        <w:szCs w:val="22"/>
        <w:lang w:val="en-US" w:eastAsia="en-US" w:bidi="ar-SA"/>
      </w:rPr>
    </w:lvl>
    <w:lvl w:ilvl="1" w:tplc="B5642B8E">
      <w:numFmt w:val="bullet"/>
      <w:lvlText w:val="o"/>
      <w:lvlJc w:val="left"/>
      <w:pPr>
        <w:ind w:left="1377" w:hanging="360"/>
      </w:pPr>
      <w:rPr>
        <w:rFonts w:ascii="Courier New" w:eastAsia="Courier New" w:hAnsi="Courier New" w:cs="Courier New" w:hint="default"/>
        <w:w w:val="100"/>
        <w:sz w:val="22"/>
        <w:szCs w:val="22"/>
        <w:lang w:val="en-US" w:eastAsia="en-US" w:bidi="ar-SA"/>
      </w:rPr>
    </w:lvl>
    <w:lvl w:ilvl="2" w:tplc="657C9CBE">
      <w:numFmt w:val="bullet"/>
      <w:lvlText w:val="•"/>
      <w:lvlJc w:val="left"/>
      <w:pPr>
        <w:ind w:left="2254" w:hanging="360"/>
      </w:pPr>
      <w:rPr>
        <w:rFonts w:hint="default"/>
        <w:lang w:val="en-US" w:eastAsia="en-US" w:bidi="ar-SA"/>
      </w:rPr>
    </w:lvl>
    <w:lvl w:ilvl="3" w:tplc="8F4E3FF8">
      <w:numFmt w:val="bullet"/>
      <w:lvlText w:val="•"/>
      <w:lvlJc w:val="left"/>
      <w:pPr>
        <w:ind w:left="3128" w:hanging="360"/>
      </w:pPr>
      <w:rPr>
        <w:rFonts w:hint="default"/>
        <w:lang w:val="en-US" w:eastAsia="en-US" w:bidi="ar-SA"/>
      </w:rPr>
    </w:lvl>
    <w:lvl w:ilvl="4" w:tplc="7D64DBF4">
      <w:numFmt w:val="bullet"/>
      <w:lvlText w:val="•"/>
      <w:lvlJc w:val="left"/>
      <w:pPr>
        <w:ind w:left="4002" w:hanging="360"/>
      </w:pPr>
      <w:rPr>
        <w:rFonts w:hint="default"/>
        <w:lang w:val="en-US" w:eastAsia="en-US" w:bidi="ar-SA"/>
      </w:rPr>
    </w:lvl>
    <w:lvl w:ilvl="5" w:tplc="BD16A170">
      <w:numFmt w:val="bullet"/>
      <w:lvlText w:val="•"/>
      <w:lvlJc w:val="left"/>
      <w:pPr>
        <w:ind w:left="4876" w:hanging="360"/>
      </w:pPr>
      <w:rPr>
        <w:rFonts w:hint="default"/>
        <w:lang w:val="en-US" w:eastAsia="en-US" w:bidi="ar-SA"/>
      </w:rPr>
    </w:lvl>
    <w:lvl w:ilvl="6" w:tplc="E4149A56">
      <w:numFmt w:val="bullet"/>
      <w:lvlText w:val="•"/>
      <w:lvlJc w:val="left"/>
      <w:pPr>
        <w:ind w:left="5750" w:hanging="360"/>
      </w:pPr>
      <w:rPr>
        <w:rFonts w:hint="default"/>
        <w:lang w:val="en-US" w:eastAsia="en-US" w:bidi="ar-SA"/>
      </w:rPr>
    </w:lvl>
    <w:lvl w:ilvl="7" w:tplc="3E60508A">
      <w:numFmt w:val="bullet"/>
      <w:lvlText w:val="•"/>
      <w:lvlJc w:val="left"/>
      <w:pPr>
        <w:ind w:left="6624" w:hanging="360"/>
      </w:pPr>
      <w:rPr>
        <w:rFonts w:hint="default"/>
        <w:lang w:val="en-US" w:eastAsia="en-US" w:bidi="ar-SA"/>
      </w:rPr>
    </w:lvl>
    <w:lvl w:ilvl="8" w:tplc="1E285A58">
      <w:numFmt w:val="bullet"/>
      <w:lvlText w:val="•"/>
      <w:lvlJc w:val="left"/>
      <w:pPr>
        <w:ind w:left="7498" w:hanging="360"/>
      </w:pPr>
      <w:rPr>
        <w:rFonts w:hint="default"/>
        <w:lang w:val="en-US" w:eastAsia="en-US" w:bidi="ar-SA"/>
      </w:rPr>
    </w:lvl>
  </w:abstractNum>
  <w:abstractNum w:abstractNumId="10" w15:restartNumberingAfterBreak="0">
    <w:nsid w:val="4C966D63"/>
    <w:multiLevelType w:val="hybridMultilevel"/>
    <w:tmpl w:val="5BE0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81B8F"/>
    <w:multiLevelType w:val="hybridMultilevel"/>
    <w:tmpl w:val="F05A3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4"/>
  </w:num>
  <w:num w:numId="6">
    <w:abstractNumId w:val="6"/>
  </w:num>
  <w:num w:numId="7">
    <w:abstractNumId w:val="7"/>
  </w:num>
  <w:num w:numId="8">
    <w:abstractNumId w:val="11"/>
  </w:num>
  <w:num w:numId="9">
    <w:abstractNumId w:val="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54C"/>
    <w:rsid w:val="00002635"/>
    <w:rsid w:val="00053B4C"/>
    <w:rsid w:val="00071E09"/>
    <w:rsid w:val="000962B6"/>
    <w:rsid w:val="000A761D"/>
    <w:rsid w:val="000C2DFC"/>
    <w:rsid w:val="000E0FA6"/>
    <w:rsid w:val="000E7DCC"/>
    <w:rsid w:val="00121C6B"/>
    <w:rsid w:val="00123C93"/>
    <w:rsid w:val="00126275"/>
    <w:rsid w:val="00132D05"/>
    <w:rsid w:val="00136702"/>
    <w:rsid w:val="0014630E"/>
    <w:rsid w:val="0015041C"/>
    <w:rsid w:val="00174AA9"/>
    <w:rsid w:val="001876E8"/>
    <w:rsid w:val="00190119"/>
    <w:rsid w:val="001D072F"/>
    <w:rsid w:val="001D6764"/>
    <w:rsid w:val="001F1566"/>
    <w:rsid w:val="001F2A0D"/>
    <w:rsid w:val="00207BDA"/>
    <w:rsid w:val="00286868"/>
    <w:rsid w:val="002A07A4"/>
    <w:rsid w:val="002B0C5A"/>
    <w:rsid w:val="002D5A84"/>
    <w:rsid w:val="002E7426"/>
    <w:rsid w:val="00326DBA"/>
    <w:rsid w:val="00344BDF"/>
    <w:rsid w:val="00353031"/>
    <w:rsid w:val="00394AF5"/>
    <w:rsid w:val="003F4AE6"/>
    <w:rsid w:val="00416C16"/>
    <w:rsid w:val="00424F39"/>
    <w:rsid w:val="004465CF"/>
    <w:rsid w:val="004543BB"/>
    <w:rsid w:val="00457FF1"/>
    <w:rsid w:val="00484F1A"/>
    <w:rsid w:val="004A64A3"/>
    <w:rsid w:val="004B3490"/>
    <w:rsid w:val="004D29FA"/>
    <w:rsid w:val="004E06DF"/>
    <w:rsid w:val="00520A27"/>
    <w:rsid w:val="00527729"/>
    <w:rsid w:val="00530ED3"/>
    <w:rsid w:val="0053260A"/>
    <w:rsid w:val="00532DB1"/>
    <w:rsid w:val="00557314"/>
    <w:rsid w:val="005619B9"/>
    <w:rsid w:val="005D65DF"/>
    <w:rsid w:val="005E117E"/>
    <w:rsid w:val="00606500"/>
    <w:rsid w:val="00622479"/>
    <w:rsid w:val="00630C5F"/>
    <w:rsid w:val="006316B2"/>
    <w:rsid w:val="006A4533"/>
    <w:rsid w:val="006B6B65"/>
    <w:rsid w:val="006E0161"/>
    <w:rsid w:val="006E7FB6"/>
    <w:rsid w:val="00733832"/>
    <w:rsid w:val="00782DBC"/>
    <w:rsid w:val="00794735"/>
    <w:rsid w:val="007E5002"/>
    <w:rsid w:val="0080312B"/>
    <w:rsid w:val="00806DD6"/>
    <w:rsid w:val="008100BC"/>
    <w:rsid w:val="008119C6"/>
    <w:rsid w:val="00870030"/>
    <w:rsid w:val="0087081B"/>
    <w:rsid w:val="00874D79"/>
    <w:rsid w:val="00894596"/>
    <w:rsid w:val="008A1695"/>
    <w:rsid w:val="008B1808"/>
    <w:rsid w:val="009034EB"/>
    <w:rsid w:val="00944372"/>
    <w:rsid w:val="00956B6C"/>
    <w:rsid w:val="00994EFF"/>
    <w:rsid w:val="009A0D1D"/>
    <w:rsid w:val="009B0B95"/>
    <w:rsid w:val="009B54B2"/>
    <w:rsid w:val="009C21CB"/>
    <w:rsid w:val="009F398A"/>
    <w:rsid w:val="009F592B"/>
    <w:rsid w:val="00A27782"/>
    <w:rsid w:val="00A426E8"/>
    <w:rsid w:val="00A456EB"/>
    <w:rsid w:val="00A5454C"/>
    <w:rsid w:val="00A67F9A"/>
    <w:rsid w:val="00A914F6"/>
    <w:rsid w:val="00B10548"/>
    <w:rsid w:val="00B159D9"/>
    <w:rsid w:val="00B16CC8"/>
    <w:rsid w:val="00B24525"/>
    <w:rsid w:val="00B4759F"/>
    <w:rsid w:val="00B50AB1"/>
    <w:rsid w:val="00B74AF6"/>
    <w:rsid w:val="00B771A3"/>
    <w:rsid w:val="00B800B8"/>
    <w:rsid w:val="00B86C34"/>
    <w:rsid w:val="00B932F5"/>
    <w:rsid w:val="00BA28B0"/>
    <w:rsid w:val="00BD626C"/>
    <w:rsid w:val="00C016C3"/>
    <w:rsid w:val="00C064C1"/>
    <w:rsid w:val="00C47E75"/>
    <w:rsid w:val="00C638E0"/>
    <w:rsid w:val="00C93460"/>
    <w:rsid w:val="00CA0DB5"/>
    <w:rsid w:val="00CC741E"/>
    <w:rsid w:val="00CD6D52"/>
    <w:rsid w:val="00CE0A18"/>
    <w:rsid w:val="00CF7E24"/>
    <w:rsid w:val="00D17066"/>
    <w:rsid w:val="00D2659E"/>
    <w:rsid w:val="00D27315"/>
    <w:rsid w:val="00D47C92"/>
    <w:rsid w:val="00D640BF"/>
    <w:rsid w:val="00D8549C"/>
    <w:rsid w:val="00DA74AA"/>
    <w:rsid w:val="00DD665E"/>
    <w:rsid w:val="00DE267B"/>
    <w:rsid w:val="00DF18C4"/>
    <w:rsid w:val="00E10F4D"/>
    <w:rsid w:val="00E21BAF"/>
    <w:rsid w:val="00E2399A"/>
    <w:rsid w:val="00E2411D"/>
    <w:rsid w:val="00E615D1"/>
    <w:rsid w:val="00E7303B"/>
    <w:rsid w:val="00E848A4"/>
    <w:rsid w:val="00E969B8"/>
    <w:rsid w:val="00E96AA3"/>
    <w:rsid w:val="00E96CC6"/>
    <w:rsid w:val="00EE7DCD"/>
    <w:rsid w:val="00EF578E"/>
    <w:rsid w:val="00F06A64"/>
    <w:rsid w:val="00F21AB9"/>
    <w:rsid w:val="00F349B0"/>
    <w:rsid w:val="00F43313"/>
    <w:rsid w:val="00F8740D"/>
    <w:rsid w:val="00F87E1D"/>
    <w:rsid w:val="00FB0E46"/>
    <w:rsid w:val="00FB66C7"/>
    <w:rsid w:val="00FD5DCA"/>
    <w:rsid w:val="00FF0537"/>
    <w:rsid w:val="00FF2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19CC"/>
  <w15:docId w15:val="{E4CD8B2F-D68B-4D1E-A39F-C0D7AFF1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8" w:right="1151"/>
      <w:jc w:val="center"/>
      <w:outlineLvl w:val="0"/>
    </w:pPr>
    <w:rPr>
      <w:b/>
      <w:bCs/>
      <w:sz w:val="24"/>
      <w:szCs w:val="24"/>
    </w:rPr>
  </w:style>
  <w:style w:type="paragraph" w:styleId="Heading2">
    <w:name w:val="heading 2"/>
    <w:basedOn w:val="Normal"/>
    <w:uiPriority w:val="9"/>
    <w:unhideWhenUsed/>
    <w:qFormat/>
    <w:pPr>
      <w:spacing w:before="1"/>
      <w:ind w:left="100"/>
      <w:jc w:val="both"/>
      <w:outlineLvl w:val="1"/>
    </w:pPr>
    <w:rPr>
      <w:sz w:val="24"/>
      <w:szCs w:val="24"/>
      <w:u w:val="single" w:color="000000"/>
    </w:rPr>
  </w:style>
  <w:style w:type="paragraph" w:styleId="Heading7">
    <w:name w:val="heading 7"/>
    <w:basedOn w:val="Normal"/>
    <w:next w:val="Normal"/>
    <w:link w:val="Heading7Char"/>
    <w:uiPriority w:val="9"/>
    <w:semiHidden/>
    <w:unhideWhenUsed/>
    <w:qFormat/>
    <w:rsid w:val="00DD665E"/>
    <w:pPr>
      <w:widowControl/>
      <w:autoSpaceDE/>
      <w:autoSpaceDN/>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44"/>
      <w:ind w:left="1138" w:right="1156"/>
      <w:jc w:val="center"/>
    </w:pPr>
    <w:rPr>
      <w:b/>
      <w:bCs/>
      <w:sz w:val="28"/>
      <w:szCs w:val="28"/>
    </w:rPr>
  </w:style>
  <w:style w:type="paragraph" w:styleId="ListParagraph">
    <w:name w:val="List Paragraph"/>
    <w:basedOn w:val="Normal"/>
    <w:uiPriority w:val="1"/>
    <w:qFormat/>
    <w:pPr>
      <w:ind w:left="666"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54B2"/>
    <w:pPr>
      <w:tabs>
        <w:tab w:val="center" w:pos="4680"/>
        <w:tab w:val="right" w:pos="9360"/>
      </w:tabs>
    </w:pPr>
  </w:style>
  <w:style w:type="character" w:customStyle="1" w:styleId="HeaderChar">
    <w:name w:val="Header Char"/>
    <w:basedOn w:val="DefaultParagraphFont"/>
    <w:link w:val="Header"/>
    <w:uiPriority w:val="99"/>
    <w:rsid w:val="009B54B2"/>
    <w:rPr>
      <w:rFonts w:ascii="Calibri" w:eastAsia="Calibri" w:hAnsi="Calibri" w:cs="Calibri"/>
    </w:rPr>
  </w:style>
  <w:style w:type="paragraph" w:styleId="Footer">
    <w:name w:val="footer"/>
    <w:basedOn w:val="Normal"/>
    <w:link w:val="FooterChar"/>
    <w:unhideWhenUsed/>
    <w:rsid w:val="009B54B2"/>
    <w:pPr>
      <w:tabs>
        <w:tab w:val="center" w:pos="4680"/>
        <w:tab w:val="right" w:pos="9360"/>
      </w:tabs>
    </w:pPr>
  </w:style>
  <w:style w:type="character" w:customStyle="1" w:styleId="FooterChar">
    <w:name w:val="Footer Char"/>
    <w:basedOn w:val="DefaultParagraphFont"/>
    <w:link w:val="Footer"/>
    <w:rsid w:val="009B54B2"/>
    <w:rPr>
      <w:rFonts w:ascii="Calibri" w:eastAsia="Calibri" w:hAnsi="Calibri" w:cs="Calibri"/>
    </w:rPr>
  </w:style>
  <w:style w:type="character" w:styleId="CommentReference">
    <w:name w:val="annotation reference"/>
    <w:basedOn w:val="DefaultParagraphFont"/>
    <w:uiPriority w:val="99"/>
    <w:semiHidden/>
    <w:unhideWhenUsed/>
    <w:rsid w:val="009B54B2"/>
    <w:rPr>
      <w:sz w:val="16"/>
      <w:szCs w:val="16"/>
    </w:rPr>
  </w:style>
  <w:style w:type="paragraph" w:styleId="CommentText">
    <w:name w:val="annotation text"/>
    <w:basedOn w:val="Normal"/>
    <w:link w:val="CommentTextChar"/>
    <w:uiPriority w:val="99"/>
    <w:semiHidden/>
    <w:unhideWhenUsed/>
    <w:rsid w:val="009B54B2"/>
    <w:rPr>
      <w:sz w:val="20"/>
      <w:szCs w:val="20"/>
    </w:rPr>
  </w:style>
  <w:style w:type="character" w:customStyle="1" w:styleId="CommentTextChar">
    <w:name w:val="Comment Text Char"/>
    <w:basedOn w:val="DefaultParagraphFont"/>
    <w:link w:val="CommentText"/>
    <w:uiPriority w:val="99"/>
    <w:semiHidden/>
    <w:rsid w:val="009B54B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B54B2"/>
    <w:rPr>
      <w:b/>
      <w:bCs/>
    </w:rPr>
  </w:style>
  <w:style w:type="character" w:customStyle="1" w:styleId="CommentSubjectChar">
    <w:name w:val="Comment Subject Char"/>
    <w:basedOn w:val="CommentTextChar"/>
    <w:link w:val="CommentSubject"/>
    <w:uiPriority w:val="99"/>
    <w:semiHidden/>
    <w:rsid w:val="009B54B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901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0119"/>
    <w:rPr>
      <w:rFonts w:ascii="Times New Roman" w:eastAsia="Calibri" w:hAnsi="Times New Roman" w:cs="Times New Roman"/>
      <w:sz w:val="18"/>
      <w:szCs w:val="18"/>
    </w:rPr>
  </w:style>
  <w:style w:type="paragraph" w:styleId="Revision">
    <w:name w:val="Revision"/>
    <w:hidden/>
    <w:uiPriority w:val="99"/>
    <w:semiHidden/>
    <w:rsid w:val="004A64A3"/>
    <w:pPr>
      <w:widowControl/>
      <w:autoSpaceDE/>
      <w:autoSpaceDN/>
    </w:pPr>
    <w:rPr>
      <w:rFonts w:ascii="Calibri" w:eastAsia="Calibri" w:hAnsi="Calibri" w:cs="Calibri"/>
    </w:rPr>
  </w:style>
  <w:style w:type="character" w:styleId="Hyperlink">
    <w:name w:val="Hyperlink"/>
    <w:basedOn w:val="DefaultParagraphFont"/>
    <w:uiPriority w:val="99"/>
    <w:unhideWhenUsed/>
    <w:rsid w:val="004A64A3"/>
    <w:rPr>
      <w:color w:val="0000FF" w:themeColor="hyperlink"/>
      <w:u w:val="single"/>
    </w:rPr>
  </w:style>
  <w:style w:type="character" w:styleId="UnresolvedMention">
    <w:name w:val="Unresolved Mention"/>
    <w:basedOn w:val="DefaultParagraphFont"/>
    <w:uiPriority w:val="99"/>
    <w:semiHidden/>
    <w:unhideWhenUsed/>
    <w:rsid w:val="004A64A3"/>
    <w:rPr>
      <w:color w:val="605E5C"/>
      <w:shd w:val="clear" w:color="auto" w:fill="E1DFDD"/>
    </w:rPr>
  </w:style>
  <w:style w:type="table" w:styleId="TableGrid">
    <w:name w:val="Table Grid"/>
    <w:basedOn w:val="TableNormal"/>
    <w:uiPriority w:val="39"/>
    <w:rsid w:val="004A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2DBC"/>
    <w:rPr>
      <w:sz w:val="20"/>
      <w:szCs w:val="20"/>
    </w:rPr>
  </w:style>
  <w:style w:type="character" w:customStyle="1" w:styleId="FootnoteTextChar">
    <w:name w:val="Footnote Text Char"/>
    <w:basedOn w:val="DefaultParagraphFont"/>
    <w:link w:val="FootnoteText"/>
    <w:uiPriority w:val="99"/>
    <w:semiHidden/>
    <w:rsid w:val="00782DBC"/>
    <w:rPr>
      <w:rFonts w:ascii="Calibri" w:eastAsia="Calibri" w:hAnsi="Calibri" w:cs="Calibri"/>
      <w:sz w:val="20"/>
      <w:szCs w:val="20"/>
    </w:rPr>
  </w:style>
  <w:style w:type="character" w:styleId="FootnoteReference">
    <w:name w:val="footnote reference"/>
    <w:basedOn w:val="DefaultParagraphFont"/>
    <w:uiPriority w:val="99"/>
    <w:semiHidden/>
    <w:unhideWhenUsed/>
    <w:rsid w:val="00782DBC"/>
    <w:rPr>
      <w:vertAlign w:val="superscript"/>
    </w:rPr>
  </w:style>
  <w:style w:type="paragraph" w:styleId="EndnoteText">
    <w:name w:val="endnote text"/>
    <w:basedOn w:val="Normal"/>
    <w:link w:val="EndnoteTextChar"/>
    <w:uiPriority w:val="99"/>
    <w:semiHidden/>
    <w:unhideWhenUsed/>
    <w:rsid w:val="00126275"/>
    <w:rPr>
      <w:sz w:val="20"/>
      <w:szCs w:val="20"/>
    </w:rPr>
  </w:style>
  <w:style w:type="character" w:customStyle="1" w:styleId="EndnoteTextChar">
    <w:name w:val="Endnote Text Char"/>
    <w:basedOn w:val="DefaultParagraphFont"/>
    <w:link w:val="EndnoteText"/>
    <w:uiPriority w:val="99"/>
    <w:semiHidden/>
    <w:rsid w:val="00126275"/>
    <w:rPr>
      <w:rFonts w:ascii="Calibri" w:eastAsia="Calibri" w:hAnsi="Calibri" w:cs="Calibri"/>
      <w:sz w:val="20"/>
      <w:szCs w:val="20"/>
    </w:rPr>
  </w:style>
  <w:style w:type="character" w:styleId="EndnoteReference">
    <w:name w:val="endnote reference"/>
    <w:basedOn w:val="DefaultParagraphFont"/>
    <w:uiPriority w:val="99"/>
    <w:semiHidden/>
    <w:unhideWhenUsed/>
    <w:rsid w:val="00126275"/>
    <w:rPr>
      <w:vertAlign w:val="superscript"/>
    </w:rPr>
  </w:style>
  <w:style w:type="character" w:customStyle="1" w:styleId="Heading7Char">
    <w:name w:val="Heading 7 Char"/>
    <w:basedOn w:val="DefaultParagraphFont"/>
    <w:link w:val="Heading7"/>
    <w:uiPriority w:val="9"/>
    <w:semiHidden/>
    <w:rsid w:val="00DD665E"/>
    <w:rPr>
      <w:rFonts w:ascii="Calibri" w:eastAsia="Times New Roman" w:hAnsi="Calibri" w:cs="Times New Roman"/>
      <w:sz w:val="24"/>
      <w:szCs w:val="24"/>
    </w:rPr>
  </w:style>
  <w:style w:type="paragraph" w:styleId="NormalWeb">
    <w:name w:val="Normal (Web)"/>
    <w:basedOn w:val="Normal"/>
    <w:uiPriority w:val="99"/>
    <w:semiHidden/>
    <w:rsid w:val="00DD665E"/>
    <w:pPr>
      <w:widowControl/>
      <w:autoSpaceDE/>
      <w:autoSpaceDN/>
      <w:spacing w:before="100" w:beforeAutospacing="1" w:after="100" w:afterAutospacing="1"/>
    </w:pPr>
    <w:rPr>
      <w:rFonts w:ascii="Times New Roman" w:eastAsia="Times New Roman" w:hAnsi="Times New Roman" w:cs="Angsana New"/>
      <w:sz w:val="24"/>
      <w:szCs w:val="24"/>
      <w:lang w:val="da-DK" w:eastAsia="da-DK"/>
    </w:rPr>
  </w:style>
  <w:style w:type="character" w:customStyle="1" w:styleId="BodyTextChar">
    <w:name w:val="Body Text Char"/>
    <w:basedOn w:val="DefaultParagraphFont"/>
    <w:link w:val="BodyText"/>
    <w:uiPriority w:val="1"/>
    <w:rsid w:val="004465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7913-D40F-2D46-BE14-38D92775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Oberascher</dc:creator>
  <cp:lastModifiedBy>Solomone Fifita</cp:lastModifiedBy>
  <cp:revision>3</cp:revision>
  <dcterms:created xsi:type="dcterms:W3CDTF">2021-08-31T04:39:00Z</dcterms:created>
  <dcterms:modified xsi:type="dcterms:W3CDTF">2021-09-01T20:50:00Z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2021-06-13T00:00:00Z</vt:filetime>
  </property>
  <property fmtid="{D5CDD505-2E9C-101B-9397-08002B2CF9AE}" pid="5" name="MSIP_Label_f842e515-4111-4b93-8e55-1b67a1b6d542_Enabled">
    <vt:lpwstr>true</vt:lpwstr>
  </property>
  <property fmtid="{D5CDD505-2E9C-101B-9397-08002B2CF9AE}" pid="6" name="MSIP_Label_f842e515-4111-4b93-8e55-1b67a1b6d542_SetDate">
    <vt:lpwstr>2021-06-13T17:49:35Z</vt:lpwstr>
  </property>
  <property fmtid="{D5CDD505-2E9C-101B-9397-08002B2CF9AE}" pid="7" name="MSIP_Label_f842e515-4111-4b93-8e55-1b67a1b6d542_Method">
    <vt:lpwstr>Privileged</vt:lpwstr>
  </property>
  <property fmtid="{D5CDD505-2E9C-101B-9397-08002B2CF9AE}" pid="8" name="MSIP_Label_f842e515-4111-4b93-8e55-1b67a1b6d542_Name">
    <vt:lpwstr>Non-Business</vt:lpwstr>
  </property>
  <property fmtid="{D5CDD505-2E9C-101B-9397-08002B2CF9AE}" pid="9" name="MSIP_Label_f842e515-4111-4b93-8e55-1b67a1b6d542_SiteId">
    <vt:lpwstr>8506c69f-005d-421b-b670-9a8ccd5aee63</vt:lpwstr>
  </property>
  <property fmtid="{D5CDD505-2E9C-101B-9397-08002B2CF9AE}" pid="10" name="MSIP_Label_f842e515-4111-4b93-8e55-1b67a1b6d542_ActionId">
    <vt:lpwstr>58520be2-febb-46b1-b3a5-27da7f1043e2</vt:lpwstr>
  </property>
  <property fmtid="{D5CDD505-2E9C-101B-9397-08002B2CF9AE}" pid="11" name="MSIP_Label_f842e515-4111-4b93-8e55-1b67a1b6d542_ContentBits">
    <vt:lpwstr>0</vt:lpwstr>
  </property>
</Properties>
</file>