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4AE572" w14:textId="6FFF1260" w:rsidR="006478C7" w:rsidRDefault="007E7EB5" w:rsidP="006478C7">
      <w:pPr>
        <w:jc w:val="center"/>
        <w:rPr>
          <w:rFonts w:cstheme="minorHAnsi"/>
          <w:bCs/>
          <w:color w:val="4472C4" w:themeColor="accent1"/>
          <w:sz w:val="24"/>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478C7">
        <w:rPr>
          <w:rFonts w:cstheme="minorHAnsi"/>
          <w:bCs/>
          <w:noProof/>
          <w:color w:val="4472C4" w:themeColor="accent1"/>
          <w:sz w:val="24"/>
          <w:szCs w:val="20"/>
          <w:lang w:val="pt-BR" w:eastAsia="pt-B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652608" behindDoc="1" locked="0" layoutInCell="1" allowOverlap="1" wp14:anchorId="4B3A6D66" wp14:editId="76A959A9">
            <wp:simplePos x="0" y="0"/>
            <wp:positionH relativeFrom="margin">
              <wp:posOffset>756435</wp:posOffset>
            </wp:positionH>
            <wp:positionV relativeFrom="paragraph">
              <wp:posOffset>521</wp:posOffset>
            </wp:positionV>
            <wp:extent cx="2324100" cy="567690"/>
            <wp:effectExtent l="0" t="0" r="0" b="3810"/>
            <wp:wrapTight wrapText="bothSides">
              <wp:wrapPolygon edited="0">
                <wp:start x="0" y="0"/>
                <wp:lineTo x="0" y="21020"/>
                <wp:lineTo x="21423" y="21020"/>
                <wp:lineTo x="21423" y="0"/>
                <wp:lineTo x="0" y="0"/>
              </wp:wrapPolygon>
            </wp:wrapTight>
            <wp:docPr id="7" name="Picture 7" descr="C:\Users\UNIDO CPP\Documents\Network of centers\PCREEE\Website\PCREE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NIDO CPP\Documents\Network of centers\PCREEE\Website\PCREEE logo.jpg"/>
                    <pic:cNvPicPr>
                      <a:picLocks noChangeAspect="1" noChangeArrowheads="1"/>
                    </pic:cNvPicPr>
                  </pic:nvPicPr>
                  <pic:blipFill rotWithShape="1">
                    <a:blip r:embed="rId8">
                      <a:extLst>
                        <a:ext uri="{28A0092B-C50C-407E-A947-70E740481C1C}">
                          <a14:useLocalDpi xmlns:a14="http://schemas.microsoft.com/office/drawing/2010/main" val="0"/>
                        </a:ext>
                      </a:extLst>
                    </a:blip>
                    <a:srcRect b="15800"/>
                    <a:stretch/>
                  </pic:blipFill>
                  <pic:spPr bwMode="auto">
                    <a:xfrm>
                      <a:off x="0" y="0"/>
                      <a:ext cx="2324100" cy="567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478C7">
        <w:rPr>
          <w:rFonts w:cstheme="minorHAnsi"/>
          <w:bCs/>
          <w:noProof/>
          <w:color w:val="4472C4" w:themeColor="accent1"/>
          <w:sz w:val="24"/>
          <w:szCs w:val="20"/>
          <w:lang w:val="pt-BR" w:eastAsia="pt-B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653632" behindDoc="0" locked="0" layoutInCell="1" allowOverlap="1" wp14:anchorId="28840997" wp14:editId="2770E4D6">
            <wp:simplePos x="0" y="0"/>
            <wp:positionH relativeFrom="column">
              <wp:posOffset>3319880</wp:posOffset>
            </wp:positionH>
            <wp:positionV relativeFrom="paragraph">
              <wp:posOffset>1905</wp:posOffset>
            </wp:positionV>
            <wp:extent cx="1381125" cy="591820"/>
            <wp:effectExtent l="0" t="0" r="9525" b="0"/>
            <wp:wrapThrough wrapText="bothSides">
              <wp:wrapPolygon edited="0">
                <wp:start x="0" y="0"/>
                <wp:lineTo x="0" y="20858"/>
                <wp:lineTo x="21451" y="20858"/>
                <wp:lineTo x="21451" y="0"/>
                <wp:lineTo x="0" y="0"/>
              </wp:wrapPolygon>
            </wp:wrapThrough>
            <wp:docPr id="14" name="Picture 14" descr="Jobs at SPC - Pacific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obs at SPC - Pacific Community">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81125" cy="591820"/>
                    </a:xfrm>
                    <a:prstGeom prst="rect">
                      <a:avLst/>
                    </a:prstGeom>
                    <a:noFill/>
                    <a:ln>
                      <a:noFill/>
                    </a:ln>
                  </pic:spPr>
                </pic:pic>
              </a:graphicData>
            </a:graphic>
            <wp14:sizeRelH relativeFrom="page">
              <wp14:pctWidth>0</wp14:pctWidth>
            </wp14:sizeRelH>
            <wp14:sizeRelV relativeFrom="page">
              <wp14:pctHeight>0</wp14:pctHeight>
            </wp14:sizeRelV>
          </wp:anchor>
        </w:drawing>
      </w:r>
      <w:r w:rsidR="00BE678A">
        <w:rPr>
          <w:rFonts w:cstheme="minorHAnsi"/>
          <w:bCs/>
          <w:color w:val="4472C4" w:themeColor="accent1"/>
          <w:sz w:val="24"/>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E80743" w:rsidRPr="000C13D7">
        <w:rPr>
          <w:rFonts w:cstheme="minorHAnsi"/>
          <w:bCs/>
          <w:color w:val="4472C4" w:themeColor="accent1"/>
          <w:sz w:val="24"/>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p>
    <w:p w14:paraId="57513DEC" w14:textId="77777777" w:rsidR="006478C7" w:rsidRDefault="006478C7" w:rsidP="006478C7">
      <w:pPr>
        <w:jc w:val="center"/>
        <w:rPr>
          <w:rFonts w:cstheme="minorHAnsi"/>
          <w:bCs/>
          <w:color w:val="4472C4" w:themeColor="accent1"/>
          <w:sz w:val="24"/>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3C1A99D" w14:textId="3FC05655" w:rsidR="00466770" w:rsidRDefault="007E7EB5" w:rsidP="006478C7">
      <w:pPr>
        <w:spacing w:after="0" w:line="240" w:lineRule="auto"/>
        <w:jc w:val="center"/>
        <w:rPr>
          <w:rFonts w:asciiTheme="majorHAnsi" w:hAnsiTheme="majorHAnsi" w:cstheme="majorHAnsi"/>
          <w:b/>
          <w:bCs/>
          <w:color w:val="002060"/>
          <w:sz w:val="32"/>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b/>
          <w:bCs/>
          <w:color w:val="002060"/>
          <w:sz w:val="32"/>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006478C7" w:rsidRPr="006478C7">
        <w:rPr>
          <w:rFonts w:asciiTheme="majorHAnsi" w:hAnsiTheme="majorHAnsi" w:cstheme="majorHAnsi"/>
          <w:b/>
          <w:bCs/>
          <w:color w:val="002060"/>
          <w:sz w:val="32"/>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Draft Project Document</w:t>
      </w:r>
      <w:r w:rsidR="00AF43B2">
        <w:rPr>
          <w:rFonts w:asciiTheme="majorHAnsi" w:hAnsiTheme="majorHAnsi" w:cstheme="majorHAnsi"/>
          <w:b/>
          <w:bCs/>
          <w:color w:val="002060"/>
          <w:sz w:val="32"/>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for Validation</w:t>
      </w:r>
      <w:r w:rsidR="006478C7" w:rsidRPr="006478C7">
        <w:rPr>
          <w:rFonts w:asciiTheme="majorHAnsi" w:hAnsiTheme="majorHAnsi" w:cstheme="majorHAnsi"/>
          <w:b/>
          <w:bCs/>
          <w:color w:val="002060"/>
          <w:sz w:val="32"/>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2794B52B" w14:textId="0BE8C655" w:rsidR="006478C7" w:rsidRPr="00D56F11" w:rsidRDefault="006478C7" w:rsidP="00D56F11">
      <w:pPr>
        <w:spacing w:after="0" w:line="240" w:lineRule="auto"/>
        <w:jc w:val="center"/>
        <w:rPr>
          <w:rFonts w:asciiTheme="majorHAnsi" w:hAnsiTheme="majorHAnsi" w:cstheme="majorHAnsi"/>
          <w:b/>
          <w:bCs/>
          <w:color w:val="002060"/>
          <w:sz w:val="32"/>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56F11">
        <w:rPr>
          <w:rFonts w:asciiTheme="majorHAnsi" w:hAnsiTheme="majorHAnsi" w:cstheme="majorHAnsi"/>
          <w:b/>
          <w:bCs/>
          <w:color w:val="002060"/>
          <w:sz w:val="32"/>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Regional </w:t>
      </w:r>
      <w:r w:rsidR="00B4787C" w:rsidRPr="00D56F11">
        <w:rPr>
          <w:rFonts w:asciiTheme="majorHAnsi" w:hAnsiTheme="majorHAnsi" w:cstheme="majorHAnsi"/>
          <w:b/>
          <w:bCs/>
          <w:color w:val="002060"/>
          <w:sz w:val="32"/>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Program </w:t>
      </w:r>
      <w:r w:rsidR="00C416C7">
        <w:rPr>
          <w:rFonts w:asciiTheme="majorHAnsi" w:hAnsiTheme="majorHAnsi" w:cstheme="majorHAnsi"/>
          <w:b/>
          <w:bCs/>
          <w:color w:val="002060"/>
          <w:sz w:val="32"/>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w:t>
      </w:r>
      <w:r w:rsidR="00B4787C" w:rsidRPr="00D56F11">
        <w:rPr>
          <w:rFonts w:asciiTheme="majorHAnsi" w:hAnsiTheme="majorHAnsi" w:cstheme="majorHAnsi"/>
          <w:b/>
          <w:bCs/>
          <w:color w:val="002060"/>
          <w:sz w:val="32"/>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o Promote </w:t>
      </w:r>
      <w:r w:rsidRPr="00D56F11">
        <w:rPr>
          <w:rFonts w:asciiTheme="majorHAnsi" w:hAnsiTheme="majorHAnsi" w:cstheme="majorHAnsi"/>
          <w:b/>
          <w:bCs/>
          <w:color w:val="002060"/>
          <w:sz w:val="32"/>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Electric </w:t>
      </w:r>
      <w:r w:rsidR="006A3557" w:rsidRPr="00D56F11">
        <w:rPr>
          <w:rFonts w:asciiTheme="majorHAnsi" w:hAnsiTheme="majorHAnsi" w:cstheme="majorHAnsi"/>
          <w:b/>
          <w:bCs/>
          <w:color w:val="002060"/>
          <w:sz w:val="32"/>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Vehicle </w:t>
      </w:r>
      <w:r w:rsidR="00B4787C" w:rsidRPr="00D56F11">
        <w:rPr>
          <w:rFonts w:asciiTheme="majorHAnsi" w:hAnsiTheme="majorHAnsi" w:cstheme="majorHAnsi"/>
          <w:b/>
          <w:bCs/>
          <w:color w:val="002060"/>
          <w:sz w:val="32"/>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Markets</w:t>
      </w:r>
      <w:r w:rsidRPr="00D56F11">
        <w:rPr>
          <w:rFonts w:asciiTheme="majorHAnsi" w:hAnsiTheme="majorHAnsi" w:cstheme="majorHAnsi"/>
          <w:b/>
          <w:bCs/>
          <w:color w:val="002060"/>
          <w:sz w:val="32"/>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B4787C" w:rsidRPr="00D56F11">
        <w:rPr>
          <w:rFonts w:asciiTheme="majorHAnsi" w:hAnsiTheme="majorHAnsi" w:cstheme="majorHAnsi"/>
          <w:b/>
          <w:bCs/>
          <w:color w:val="002060"/>
          <w:sz w:val="32"/>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in </w:t>
      </w:r>
      <w:r w:rsidRPr="00D56F11">
        <w:rPr>
          <w:rFonts w:asciiTheme="majorHAnsi" w:hAnsiTheme="majorHAnsi" w:cstheme="majorHAnsi"/>
          <w:b/>
          <w:bCs/>
          <w:color w:val="002060"/>
          <w:sz w:val="32"/>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Pacific Island Countries and Territories (PICTs)</w:t>
      </w:r>
    </w:p>
    <w:p w14:paraId="0EF6F0E4" w14:textId="77777777" w:rsidR="006478C7" w:rsidRDefault="006478C7" w:rsidP="00FF7D24">
      <w:pPr>
        <w:spacing w:line="276" w:lineRule="auto"/>
        <w:rPr>
          <w:rFonts w:asciiTheme="majorHAnsi" w:hAnsiTheme="majorHAnsi" w:cstheme="majorHAnsi"/>
          <w:b/>
          <w:bCs/>
          <w:color w:val="002060"/>
          <w:sz w:val="8"/>
          <w:szCs w:val="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2840C22" w14:textId="77777777" w:rsidR="006478C7" w:rsidRPr="00696353" w:rsidRDefault="006478C7" w:rsidP="006478C7">
      <w:pPr>
        <w:spacing w:line="276" w:lineRule="auto"/>
        <w:jc w:val="center"/>
        <w:rPr>
          <w:rFonts w:asciiTheme="majorHAnsi" w:hAnsiTheme="majorHAnsi" w:cstheme="majorHAnsi"/>
          <w:b/>
          <w:bCs/>
          <w:i/>
          <w:color w:val="002060"/>
          <w:sz w:val="8"/>
          <w:szCs w:val="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96353">
        <w:rPr>
          <w:rFonts w:asciiTheme="majorHAnsi" w:hAnsiTheme="majorHAnsi" w:cstheme="majorHAnsi"/>
          <w:i/>
        </w:rPr>
        <w:t>Prepared as follow-up to the decisions of the Fourth Pacific Regional Energy and Transport Ministers’ Meeting, held from 18 to 20 September 2019, in Apia, Samoa</w:t>
      </w:r>
    </w:p>
    <w:p w14:paraId="0ED23BC3" w14:textId="77777777" w:rsidR="006478C7" w:rsidRDefault="006478C7" w:rsidP="006478C7">
      <w:pPr>
        <w:spacing w:line="276" w:lineRule="auto"/>
        <w:jc w:val="center"/>
        <w:rPr>
          <w:rFonts w:asciiTheme="majorHAnsi" w:hAnsiTheme="majorHAnsi" w:cstheme="majorHAnsi"/>
          <w:b/>
          <w:bCs/>
          <w:color w:val="002060"/>
          <w:sz w:val="8"/>
          <w:szCs w:val="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24B5F4A" w14:textId="08AEEBD1" w:rsidR="006478C7" w:rsidRPr="004F12A7" w:rsidRDefault="009B39BD" w:rsidP="006478C7">
      <w:pPr>
        <w:spacing w:line="276" w:lineRule="auto"/>
        <w:jc w:val="center"/>
        <w:rPr>
          <w:rFonts w:asciiTheme="majorHAnsi" w:hAnsiTheme="majorHAnsi" w:cstheme="majorHAnsi"/>
          <w:b/>
          <w:bCs/>
          <w:color w:val="002060"/>
          <w:sz w:val="8"/>
          <w:szCs w:val="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B39BD">
        <w:rPr>
          <w:rFonts w:asciiTheme="majorHAnsi" w:hAnsiTheme="majorHAnsi" w:cstheme="majorHAnsi"/>
          <w:b/>
          <w:bCs/>
          <w:noProof/>
          <w:color w:val="002060"/>
          <w:sz w:val="8"/>
          <w:szCs w:val="8"/>
          <w:lang w:val="pt-BR" w:eastAsia="pt-B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inline distT="0" distB="0" distL="0" distR="0" wp14:anchorId="39997470" wp14:editId="02C64F7F">
            <wp:extent cx="4572000" cy="2628900"/>
            <wp:effectExtent l="381000" t="400050" r="419100" b="400050"/>
            <wp:docPr id="30" name="Picture 18">
              <a:extLst xmlns:a="http://schemas.openxmlformats.org/drawingml/2006/main">
                <a:ext uri="{FF2B5EF4-FFF2-40B4-BE49-F238E27FC236}">
                  <a16:creationId xmlns:a16="http://schemas.microsoft.com/office/drawing/2014/main" id="{D1030238-8594-43AB-98DE-AA96F22D39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D1030238-8594-43AB-98DE-AA96F22D39FB}"/>
                        </a:ext>
                      </a:extLst>
                    </pic:cNvPr>
                    <pic:cNvPicPr>
                      <a:picLocks noChangeAspect="1"/>
                    </pic:cNvPicPr>
                  </pic:nvPicPr>
                  <pic:blipFill rotWithShape="1">
                    <a:blip r:embed="rId11"/>
                    <a:srcRect l="3777" t="10764" r="16160" b="18753"/>
                    <a:stretch/>
                  </pic:blipFill>
                  <pic:spPr bwMode="auto">
                    <a:xfrm>
                      <a:off x="0" y="0"/>
                      <a:ext cx="4577568" cy="2632102"/>
                    </a:xfrm>
                    <a:prstGeom prst="rect">
                      <a:avLst/>
                    </a:prstGeom>
                    <a:solidFill>
                      <a:srgbClr val="FFFFFF">
                        <a:shade val="85000"/>
                      </a:srgbClr>
                    </a:solidFill>
                    <a:ln w="1905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inline>
        </w:drawing>
      </w:r>
    </w:p>
    <w:p w14:paraId="10935D3F" w14:textId="77777777" w:rsidR="006478C7" w:rsidRDefault="006478C7" w:rsidP="006478C7">
      <w:pPr>
        <w:spacing w:after="120"/>
        <w:ind w:left="426" w:hanging="426"/>
        <w:rPr>
          <w:rFonts w:asciiTheme="majorHAnsi" w:hAnsiTheme="majorHAnsi" w:cstheme="majorHAnsi"/>
          <w:sz w:val="10"/>
          <w:szCs w:val="10"/>
        </w:rPr>
      </w:pPr>
    </w:p>
    <w:p w14:paraId="72115B75" w14:textId="51E363A4" w:rsidR="006478C7" w:rsidRPr="00696353" w:rsidRDefault="006478C7" w:rsidP="006478C7">
      <w:pPr>
        <w:spacing w:line="276" w:lineRule="auto"/>
        <w:jc w:val="center"/>
        <w:rPr>
          <w:rFonts w:asciiTheme="majorHAnsi" w:hAnsiTheme="majorHAnsi" w:cstheme="majorHAnsi"/>
          <w:b/>
          <w:bCs/>
          <w:color w:val="00206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96353">
        <w:rPr>
          <w:rFonts w:asciiTheme="majorHAnsi" w:hAnsiTheme="majorHAnsi" w:cstheme="majorHAnsi"/>
          <w:b/>
          <w:bCs/>
          <w:color w:val="00206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Draft Version, </w:t>
      </w:r>
      <w:r w:rsidR="00204427">
        <w:rPr>
          <w:rFonts w:asciiTheme="majorHAnsi" w:hAnsiTheme="majorHAnsi" w:cstheme="majorHAnsi"/>
          <w:b/>
          <w:bCs/>
          <w:color w:val="00206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002E44DD">
        <w:rPr>
          <w:rFonts w:asciiTheme="majorHAnsi" w:hAnsiTheme="majorHAnsi" w:cstheme="majorHAnsi"/>
          <w:b/>
          <w:bCs/>
          <w:color w:val="00206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sidRPr="00696353">
        <w:rPr>
          <w:rFonts w:asciiTheme="majorHAnsi" w:hAnsiTheme="majorHAnsi" w:cstheme="majorHAnsi"/>
          <w:b/>
          <w:bCs/>
          <w:color w:val="00206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204427">
        <w:rPr>
          <w:rFonts w:asciiTheme="majorHAnsi" w:hAnsiTheme="majorHAnsi" w:cstheme="majorHAnsi"/>
          <w:b/>
          <w:bCs/>
          <w:color w:val="00206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April </w:t>
      </w:r>
      <w:r w:rsidRPr="00696353">
        <w:rPr>
          <w:rFonts w:asciiTheme="majorHAnsi" w:hAnsiTheme="majorHAnsi" w:cstheme="majorHAnsi"/>
          <w:b/>
          <w:bCs/>
          <w:color w:val="00206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2020</w:t>
      </w:r>
    </w:p>
    <w:p w14:paraId="1EEE9EC0" w14:textId="77777777" w:rsidR="006478C7" w:rsidRPr="00696353" w:rsidRDefault="006478C7" w:rsidP="006478C7">
      <w:pPr>
        <w:spacing w:line="276" w:lineRule="auto"/>
        <w:jc w:val="center"/>
        <w:rPr>
          <w:rFonts w:asciiTheme="majorHAnsi" w:hAnsiTheme="majorHAnsi" w:cstheme="majorHAnsi"/>
          <w:b/>
          <w:bCs/>
          <w:color w:val="00206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96353">
        <w:rPr>
          <w:rFonts w:asciiTheme="majorHAnsi" w:hAnsiTheme="majorHAnsi" w:cstheme="majorHAnsi"/>
          <w:b/>
          <w:bCs/>
          <w:color w:val="00206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To be validated in a regional validation workshop</w:t>
      </w:r>
      <w:r>
        <w:rPr>
          <w:rFonts w:asciiTheme="majorHAnsi" w:hAnsiTheme="majorHAnsi" w:cstheme="majorHAnsi"/>
          <w:b/>
          <w:bCs/>
          <w:color w:val="0020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asciiTheme="majorHAnsi" w:hAnsiTheme="majorHAnsi" w:cstheme="majorHAnsi"/>
          <w:b/>
          <w:bCs/>
          <w:color w:val="0020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 xml:space="preserve">to be organized by PCREEE/SPC and UNIDO </w:t>
      </w:r>
    </w:p>
    <w:p w14:paraId="434D0058" w14:textId="77777777" w:rsidR="006478C7" w:rsidRDefault="006478C7" w:rsidP="006478C7">
      <w:pPr>
        <w:spacing w:line="276" w:lineRule="auto"/>
        <w:jc w:val="center"/>
        <w:rPr>
          <w:rFonts w:asciiTheme="majorHAnsi" w:hAnsiTheme="majorHAnsi" w:cstheme="majorHAnsi"/>
          <w:b/>
          <w:bCs/>
          <w:color w:val="0020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C130C94" w14:textId="77777777" w:rsidR="006478C7" w:rsidRDefault="006478C7" w:rsidP="006478C7">
      <w:pPr>
        <w:rPr>
          <w:rFonts w:asciiTheme="majorHAnsi" w:hAnsiTheme="majorHAnsi" w:cstheme="majorHAnsi"/>
          <w:b/>
        </w:rPr>
      </w:pPr>
    </w:p>
    <w:p w14:paraId="01D67717" w14:textId="77777777" w:rsidR="006478C7" w:rsidRDefault="006478C7" w:rsidP="006478C7">
      <w:pPr>
        <w:rPr>
          <w:rFonts w:asciiTheme="majorHAnsi" w:hAnsiTheme="majorHAnsi" w:cstheme="majorHAnsi"/>
          <w:b/>
        </w:rPr>
      </w:pPr>
    </w:p>
    <w:p w14:paraId="1BA3616F" w14:textId="77777777" w:rsidR="006478C7" w:rsidRDefault="006478C7" w:rsidP="006478C7">
      <w:pPr>
        <w:rPr>
          <w:rFonts w:asciiTheme="majorHAnsi" w:hAnsiTheme="majorHAnsi" w:cstheme="majorHAnsi"/>
          <w:b/>
        </w:rPr>
      </w:pPr>
    </w:p>
    <w:p w14:paraId="65DD9C04" w14:textId="77777777" w:rsidR="006478C7" w:rsidRDefault="006478C7" w:rsidP="006478C7">
      <w:pPr>
        <w:rPr>
          <w:rFonts w:asciiTheme="majorHAnsi" w:hAnsiTheme="majorHAnsi" w:cstheme="majorHAnsi"/>
          <w:b/>
        </w:rPr>
      </w:pPr>
    </w:p>
    <w:p w14:paraId="01B73B3F" w14:textId="77777777" w:rsidR="006478C7" w:rsidRDefault="006478C7" w:rsidP="006478C7">
      <w:pPr>
        <w:rPr>
          <w:rFonts w:asciiTheme="majorHAnsi" w:hAnsiTheme="majorHAnsi" w:cstheme="majorHAnsi"/>
          <w:b/>
        </w:rPr>
      </w:pPr>
    </w:p>
    <w:p w14:paraId="6D6881AD" w14:textId="77777777" w:rsidR="006478C7" w:rsidRDefault="006478C7" w:rsidP="006478C7">
      <w:pPr>
        <w:rPr>
          <w:rFonts w:asciiTheme="majorHAnsi" w:hAnsiTheme="majorHAnsi" w:cstheme="majorHAnsi"/>
          <w:b/>
        </w:rPr>
      </w:pPr>
      <w:r w:rsidRPr="006806D1">
        <w:rPr>
          <w:rFonts w:asciiTheme="majorHAnsi" w:hAnsiTheme="majorHAnsi" w:cstheme="majorHAnsi"/>
          <w:b/>
          <w:noProof/>
          <w:lang w:val="pt-BR" w:eastAsia="pt-BR"/>
        </w:rPr>
        <w:lastRenderedPageBreak/>
        <w:drawing>
          <wp:anchor distT="0" distB="0" distL="114300" distR="114300" simplePos="0" relativeHeight="251662848" behindDoc="1" locked="0" layoutInCell="1" allowOverlap="1" wp14:anchorId="0883CE06" wp14:editId="43837B7F">
            <wp:simplePos x="0" y="0"/>
            <wp:positionH relativeFrom="column">
              <wp:posOffset>38100</wp:posOffset>
            </wp:positionH>
            <wp:positionV relativeFrom="paragraph">
              <wp:posOffset>-123825</wp:posOffset>
            </wp:positionV>
            <wp:extent cx="2715895" cy="1219200"/>
            <wp:effectExtent l="323850" t="323850" r="332105" b="323850"/>
            <wp:wrapTight wrapText="bothSides">
              <wp:wrapPolygon edited="0">
                <wp:start x="1667" y="-5738"/>
                <wp:lineTo x="-2121" y="-5063"/>
                <wp:lineTo x="-2576" y="5738"/>
                <wp:lineTo x="-2424" y="22275"/>
                <wp:lineTo x="-303" y="26325"/>
                <wp:lineTo x="-152" y="27000"/>
                <wp:lineTo x="20151" y="27000"/>
                <wp:lineTo x="20302" y="26325"/>
                <wp:lineTo x="23484" y="22275"/>
                <wp:lineTo x="23484" y="21938"/>
                <wp:lineTo x="24090" y="16538"/>
                <wp:lineTo x="24090" y="338"/>
                <wp:lineTo x="21817" y="-4725"/>
                <wp:lineTo x="21666" y="-5738"/>
                <wp:lineTo x="1667" y="-5738"/>
              </wp:wrapPolygon>
            </wp:wrapTight>
            <wp:docPr id="19" name="Picture 19" descr="C:\Users\UNIDO CPP\Desktop\GN-SEC map 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NIDO CPP\Desktop\GN-SEC map larg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5895" cy="12192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5D43C6FB" w14:textId="77777777" w:rsidR="006478C7" w:rsidRDefault="006478C7" w:rsidP="006478C7">
      <w:pPr>
        <w:rPr>
          <w:rFonts w:asciiTheme="majorHAnsi" w:hAnsiTheme="majorHAnsi" w:cstheme="majorHAnsi"/>
          <w:b/>
        </w:rPr>
      </w:pPr>
    </w:p>
    <w:p w14:paraId="0C3562C7" w14:textId="77777777" w:rsidR="006478C7" w:rsidRDefault="006478C7" w:rsidP="006478C7">
      <w:pPr>
        <w:rPr>
          <w:rFonts w:asciiTheme="majorHAnsi" w:hAnsiTheme="majorHAnsi" w:cstheme="majorHAnsi"/>
          <w:b/>
        </w:rPr>
      </w:pPr>
    </w:p>
    <w:p w14:paraId="771B2CBA" w14:textId="77777777" w:rsidR="006478C7" w:rsidRDefault="006478C7" w:rsidP="006478C7">
      <w:pPr>
        <w:rPr>
          <w:rFonts w:asciiTheme="majorHAnsi" w:hAnsiTheme="majorHAnsi" w:cstheme="majorHAnsi"/>
          <w:b/>
        </w:rPr>
      </w:pPr>
    </w:p>
    <w:p w14:paraId="688FE3DD" w14:textId="77777777" w:rsidR="006478C7" w:rsidRDefault="006478C7" w:rsidP="006478C7">
      <w:pPr>
        <w:rPr>
          <w:rFonts w:asciiTheme="majorHAnsi" w:hAnsiTheme="majorHAnsi" w:cstheme="majorHAnsi"/>
          <w:b/>
        </w:rPr>
      </w:pPr>
    </w:p>
    <w:p w14:paraId="2583265E" w14:textId="77777777" w:rsidR="00FD2DBB" w:rsidRDefault="00FD2DBB" w:rsidP="006478C7">
      <w:pPr>
        <w:rPr>
          <w:rFonts w:asciiTheme="majorHAnsi" w:hAnsiTheme="majorHAnsi" w:cstheme="majorHAnsi"/>
          <w:b/>
        </w:rPr>
      </w:pPr>
    </w:p>
    <w:p w14:paraId="3363B6A5" w14:textId="77777777" w:rsidR="00FD2DBB" w:rsidRDefault="00FD2DBB" w:rsidP="006478C7">
      <w:pPr>
        <w:rPr>
          <w:rFonts w:asciiTheme="majorHAnsi" w:hAnsiTheme="majorHAnsi" w:cstheme="majorHAnsi"/>
          <w:b/>
        </w:rPr>
      </w:pPr>
    </w:p>
    <w:p w14:paraId="73257EB5" w14:textId="77777777" w:rsidR="006478C7" w:rsidRPr="00696353" w:rsidRDefault="006478C7" w:rsidP="006478C7">
      <w:pPr>
        <w:rPr>
          <w:rFonts w:asciiTheme="majorHAnsi" w:hAnsiTheme="majorHAnsi" w:cstheme="majorHAnsi"/>
          <w:b/>
        </w:rPr>
      </w:pPr>
      <w:r w:rsidRPr="00696353">
        <w:rPr>
          <w:rFonts w:asciiTheme="majorHAnsi" w:hAnsiTheme="majorHAnsi" w:cstheme="majorHAnsi"/>
          <w:b/>
        </w:rPr>
        <w:t>Partnership:</w:t>
      </w:r>
    </w:p>
    <w:p w14:paraId="007AD567" w14:textId="77777777" w:rsidR="006478C7" w:rsidRPr="00696353" w:rsidRDefault="006478C7" w:rsidP="006478C7">
      <w:pPr>
        <w:rPr>
          <w:rFonts w:asciiTheme="majorHAnsi" w:hAnsiTheme="majorHAnsi" w:cstheme="majorHAnsi"/>
        </w:rPr>
      </w:pPr>
      <w:r w:rsidRPr="00696353">
        <w:rPr>
          <w:rFonts w:asciiTheme="majorHAnsi" w:hAnsiTheme="majorHAnsi" w:cstheme="majorHAnsi"/>
        </w:rPr>
        <w:t xml:space="preserve">Jointly developed by the Pacific Centre for Renewable Energy and Energy Efficiency (PCREEE) and the United Nations Industrial Development Organization (UNIDO) under the umbrella of Global Network of Regional Sustainable Energy </w:t>
      </w:r>
      <w:proofErr w:type="spellStart"/>
      <w:r w:rsidRPr="00696353">
        <w:rPr>
          <w:rFonts w:asciiTheme="majorHAnsi" w:hAnsiTheme="majorHAnsi" w:cstheme="majorHAnsi"/>
        </w:rPr>
        <w:t>Centers</w:t>
      </w:r>
      <w:proofErr w:type="spellEnd"/>
      <w:r w:rsidRPr="00696353">
        <w:rPr>
          <w:rFonts w:asciiTheme="majorHAnsi" w:hAnsiTheme="majorHAnsi" w:cstheme="majorHAnsi"/>
        </w:rPr>
        <w:t xml:space="preserve"> (GN-SEC)</w:t>
      </w:r>
    </w:p>
    <w:p w14:paraId="03597669" w14:textId="77777777" w:rsidR="006478C7" w:rsidRDefault="006478C7" w:rsidP="006478C7">
      <w:pPr>
        <w:spacing w:after="120" w:line="216" w:lineRule="auto"/>
        <w:rPr>
          <w:rFonts w:asciiTheme="majorHAnsi" w:hAnsiTheme="majorHAnsi" w:cstheme="majorHAnsi"/>
          <w:b/>
        </w:rPr>
      </w:pPr>
      <w:r>
        <w:rPr>
          <w:rFonts w:ascii="Arial" w:hAnsi="Arial" w:cs="Arial"/>
          <w:noProof/>
          <w:color w:val="2962FF"/>
          <w:sz w:val="20"/>
          <w:szCs w:val="20"/>
          <w:lang w:val="pt-BR" w:eastAsia="pt-BR"/>
        </w:rPr>
        <w:drawing>
          <wp:anchor distT="0" distB="0" distL="114300" distR="114300" simplePos="0" relativeHeight="251657728" behindDoc="0" locked="0" layoutInCell="1" allowOverlap="1" wp14:anchorId="26257D46" wp14:editId="07439A82">
            <wp:simplePos x="0" y="0"/>
            <wp:positionH relativeFrom="column">
              <wp:posOffset>2637790</wp:posOffset>
            </wp:positionH>
            <wp:positionV relativeFrom="paragraph">
              <wp:posOffset>123825</wp:posOffset>
            </wp:positionV>
            <wp:extent cx="1038225" cy="443230"/>
            <wp:effectExtent l="0" t="0" r="9525" b="0"/>
            <wp:wrapThrough wrapText="bothSides">
              <wp:wrapPolygon edited="0">
                <wp:start x="0" y="0"/>
                <wp:lineTo x="0" y="20424"/>
                <wp:lineTo x="21402" y="20424"/>
                <wp:lineTo x="21402" y="0"/>
                <wp:lineTo x="0" y="0"/>
              </wp:wrapPolygon>
            </wp:wrapThrough>
            <wp:docPr id="15" name="Picture 15" descr="Jobs at SPC - Pacific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obs at SPC - Pacific Community">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8225" cy="443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DC7">
        <w:rPr>
          <w:noProof/>
          <w:lang w:val="pt-BR" w:eastAsia="pt-BR"/>
        </w:rPr>
        <w:drawing>
          <wp:anchor distT="0" distB="0" distL="114300" distR="114300" simplePos="0" relativeHeight="251654656" behindDoc="1" locked="0" layoutInCell="1" allowOverlap="1" wp14:anchorId="478B29EB" wp14:editId="40D3FB28">
            <wp:simplePos x="0" y="0"/>
            <wp:positionH relativeFrom="margin">
              <wp:posOffset>95250</wp:posOffset>
            </wp:positionH>
            <wp:positionV relativeFrom="paragraph">
              <wp:posOffset>121920</wp:posOffset>
            </wp:positionV>
            <wp:extent cx="1857375" cy="452755"/>
            <wp:effectExtent l="0" t="0" r="9525" b="4445"/>
            <wp:wrapTight wrapText="bothSides">
              <wp:wrapPolygon edited="0">
                <wp:start x="0" y="0"/>
                <wp:lineTo x="0" y="20903"/>
                <wp:lineTo x="21489" y="20903"/>
                <wp:lineTo x="21489" y="0"/>
                <wp:lineTo x="0" y="0"/>
              </wp:wrapPolygon>
            </wp:wrapTight>
            <wp:docPr id="10" name="Picture 10" descr="C:\Users\UNIDO CPP\Documents\Network of centers\PCREEE\Website\PCREE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NIDO CPP\Documents\Network of centers\PCREEE\Website\PCREEE logo.jpg"/>
                    <pic:cNvPicPr>
                      <a:picLocks noChangeAspect="1" noChangeArrowheads="1"/>
                    </pic:cNvPicPr>
                  </pic:nvPicPr>
                  <pic:blipFill rotWithShape="1">
                    <a:blip r:embed="rId8">
                      <a:extLst>
                        <a:ext uri="{28A0092B-C50C-407E-A947-70E740481C1C}">
                          <a14:useLocalDpi xmlns:a14="http://schemas.microsoft.com/office/drawing/2010/main" val="0"/>
                        </a:ext>
                      </a:extLst>
                    </a:blip>
                    <a:srcRect b="15800"/>
                    <a:stretch/>
                  </pic:blipFill>
                  <pic:spPr bwMode="auto">
                    <a:xfrm>
                      <a:off x="0" y="0"/>
                      <a:ext cx="1857375" cy="452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205125" w14:textId="77777777" w:rsidR="006478C7" w:rsidRDefault="006478C7" w:rsidP="006478C7">
      <w:pPr>
        <w:spacing w:after="120" w:line="216" w:lineRule="auto"/>
        <w:rPr>
          <w:rFonts w:asciiTheme="majorHAnsi" w:hAnsiTheme="majorHAnsi" w:cstheme="majorHAnsi"/>
          <w:b/>
        </w:rPr>
      </w:pPr>
    </w:p>
    <w:p w14:paraId="64D5C3DA" w14:textId="77777777" w:rsidR="006478C7" w:rsidRDefault="006478C7" w:rsidP="006478C7">
      <w:pPr>
        <w:spacing w:after="120" w:line="216" w:lineRule="auto"/>
        <w:rPr>
          <w:rFonts w:asciiTheme="majorHAnsi" w:hAnsiTheme="majorHAnsi" w:cstheme="majorHAnsi"/>
          <w:b/>
        </w:rPr>
      </w:pPr>
    </w:p>
    <w:p w14:paraId="77C760BC" w14:textId="77777777" w:rsidR="006478C7" w:rsidRDefault="006478C7" w:rsidP="006478C7">
      <w:pPr>
        <w:spacing w:after="120" w:line="216" w:lineRule="auto"/>
        <w:rPr>
          <w:rFonts w:asciiTheme="majorHAnsi" w:hAnsiTheme="majorHAnsi" w:cstheme="majorHAnsi"/>
          <w:b/>
        </w:rPr>
      </w:pPr>
      <w:r w:rsidRPr="00B44A3D">
        <w:rPr>
          <w:rFonts w:asciiTheme="majorHAnsi" w:hAnsiTheme="majorHAnsi" w:cstheme="majorHAnsi"/>
          <w:b/>
          <w:noProof/>
          <w:lang w:val="pt-BR" w:eastAsia="pt-BR"/>
        </w:rPr>
        <w:drawing>
          <wp:anchor distT="0" distB="0" distL="114300" distR="114300" simplePos="0" relativeHeight="251656704" behindDoc="0" locked="0" layoutInCell="1" allowOverlap="1" wp14:anchorId="1F56FEC1" wp14:editId="6778080E">
            <wp:simplePos x="0" y="0"/>
            <wp:positionH relativeFrom="column">
              <wp:posOffset>57150</wp:posOffset>
            </wp:positionH>
            <wp:positionV relativeFrom="paragraph">
              <wp:posOffset>93345</wp:posOffset>
            </wp:positionV>
            <wp:extent cx="2347595" cy="419100"/>
            <wp:effectExtent l="0" t="0" r="0" b="0"/>
            <wp:wrapThrough wrapText="bothSides">
              <wp:wrapPolygon edited="0">
                <wp:start x="0" y="0"/>
                <wp:lineTo x="0" y="20618"/>
                <wp:lineTo x="21384" y="20618"/>
                <wp:lineTo x="21384" y="0"/>
                <wp:lineTo x="0" y="0"/>
              </wp:wrapPolygon>
            </wp:wrapThrough>
            <wp:docPr id="13" name="Picture 13" descr="C:\Users\UNIDO CPP\Pictures\UNIDO 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NIDO CPP\Pictures\UNIDO logo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47595"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4A3D">
        <w:rPr>
          <w:rFonts w:asciiTheme="majorHAnsi" w:hAnsiTheme="majorHAnsi" w:cstheme="majorHAnsi"/>
          <w:b/>
          <w:noProof/>
          <w:lang w:val="pt-BR" w:eastAsia="pt-BR"/>
        </w:rPr>
        <w:drawing>
          <wp:anchor distT="0" distB="0" distL="114300" distR="114300" simplePos="0" relativeHeight="251655680" behindDoc="1" locked="0" layoutInCell="1" allowOverlap="1" wp14:anchorId="02D9E80B" wp14:editId="7CA79122">
            <wp:simplePos x="0" y="0"/>
            <wp:positionH relativeFrom="column">
              <wp:posOffset>2533650</wp:posOffset>
            </wp:positionH>
            <wp:positionV relativeFrom="paragraph">
              <wp:posOffset>93980</wp:posOffset>
            </wp:positionV>
            <wp:extent cx="1476375" cy="479425"/>
            <wp:effectExtent l="0" t="0" r="9525" b="0"/>
            <wp:wrapTight wrapText="bothSides">
              <wp:wrapPolygon edited="0">
                <wp:start x="0" y="0"/>
                <wp:lineTo x="0" y="20599"/>
                <wp:lineTo x="21461" y="20599"/>
                <wp:lineTo x="21461" y="0"/>
                <wp:lineTo x="0" y="0"/>
              </wp:wrapPolygon>
            </wp:wrapTight>
            <wp:docPr id="12" name="Picture 12" descr="C:\Users\UNIDO CPP\Pictures\gn-sec_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NIDO CPP\Pictures\gn-sec_logo[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76375" cy="479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D6F6D9" w14:textId="77777777" w:rsidR="006478C7" w:rsidRDefault="006478C7" w:rsidP="006478C7">
      <w:pPr>
        <w:spacing w:after="120" w:line="216" w:lineRule="auto"/>
        <w:rPr>
          <w:rFonts w:asciiTheme="majorHAnsi" w:hAnsiTheme="majorHAnsi" w:cstheme="majorHAnsi"/>
          <w:b/>
        </w:rPr>
      </w:pPr>
    </w:p>
    <w:p w14:paraId="6FC8A1B2" w14:textId="77777777" w:rsidR="006478C7" w:rsidRDefault="006478C7" w:rsidP="006478C7">
      <w:pPr>
        <w:spacing w:after="120" w:line="216" w:lineRule="auto"/>
        <w:rPr>
          <w:rFonts w:asciiTheme="majorHAnsi" w:hAnsiTheme="majorHAnsi" w:cstheme="majorHAnsi"/>
          <w:b/>
        </w:rPr>
      </w:pPr>
    </w:p>
    <w:p w14:paraId="7EF012B6" w14:textId="0835C75D" w:rsidR="006478C7" w:rsidRPr="00696353" w:rsidRDefault="006478C7" w:rsidP="006478C7">
      <w:pPr>
        <w:spacing w:after="120" w:line="216" w:lineRule="auto"/>
        <w:rPr>
          <w:rFonts w:asciiTheme="majorHAnsi" w:hAnsiTheme="majorHAnsi" w:cstheme="majorHAnsi"/>
          <w:b/>
        </w:rPr>
      </w:pPr>
      <w:r>
        <w:rPr>
          <w:rFonts w:asciiTheme="majorHAnsi" w:hAnsiTheme="majorHAnsi" w:cstheme="majorHAnsi"/>
          <w:b/>
        </w:rPr>
        <w:br/>
      </w:r>
      <w:r w:rsidRPr="00696353">
        <w:rPr>
          <w:rFonts w:asciiTheme="majorHAnsi" w:hAnsiTheme="majorHAnsi" w:cstheme="majorHAnsi"/>
          <w:b/>
        </w:rPr>
        <w:t xml:space="preserve">Consulting Team:  </w:t>
      </w:r>
    </w:p>
    <w:p w14:paraId="296C62BB" w14:textId="77777777" w:rsidR="009B39BD" w:rsidRDefault="006478C7" w:rsidP="009B39BD">
      <w:pPr>
        <w:spacing w:after="0" w:line="216" w:lineRule="auto"/>
        <w:rPr>
          <w:rFonts w:asciiTheme="majorHAnsi" w:hAnsiTheme="majorHAnsi" w:cstheme="majorHAnsi"/>
          <w:bCs/>
        </w:rPr>
      </w:pPr>
      <w:r w:rsidRPr="00696353">
        <w:rPr>
          <w:rFonts w:asciiTheme="majorHAnsi" w:hAnsiTheme="majorHAnsi" w:cstheme="majorHAnsi"/>
          <w:bCs/>
        </w:rPr>
        <w:t>Andrew Campbell (Fuel Technology Limited</w:t>
      </w:r>
      <w:r w:rsidR="00974498">
        <w:rPr>
          <w:rFonts w:asciiTheme="majorHAnsi" w:hAnsiTheme="majorHAnsi" w:cstheme="majorHAnsi"/>
          <w:bCs/>
        </w:rPr>
        <w:t>, Team Lead and Lead Author</w:t>
      </w:r>
      <w:r w:rsidRPr="00696353">
        <w:rPr>
          <w:rFonts w:asciiTheme="majorHAnsi" w:hAnsiTheme="majorHAnsi" w:cstheme="majorHAnsi"/>
          <w:bCs/>
        </w:rPr>
        <w:t>)</w:t>
      </w:r>
    </w:p>
    <w:p w14:paraId="5B0AC36E" w14:textId="3E145F79" w:rsidR="006478C7" w:rsidRPr="00696353" w:rsidRDefault="006478C7" w:rsidP="009B39BD">
      <w:pPr>
        <w:spacing w:after="0" w:line="216" w:lineRule="auto"/>
        <w:rPr>
          <w:rFonts w:asciiTheme="majorHAnsi" w:hAnsiTheme="majorHAnsi" w:cstheme="majorHAnsi"/>
        </w:rPr>
      </w:pPr>
      <w:r w:rsidRPr="00696353">
        <w:rPr>
          <w:rFonts w:asciiTheme="majorHAnsi" w:hAnsiTheme="majorHAnsi" w:cstheme="majorHAnsi"/>
          <w:bCs/>
        </w:rPr>
        <w:t>Elizabeth Yeaman (</w:t>
      </w:r>
      <w:proofErr w:type="spellStart"/>
      <w:r w:rsidRPr="00696353">
        <w:rPr>
          <w:rFonts w:asciiTheme="majorHAnsi" w:hAnsiTheme="majorHAnsi" w:cstheme="majorHAnsi"/>
          <w:bCs/>
        </w:rPr>
        <w:t>Retyna</w:t>
      </w:r>
      <w:proofErr w:type="spellEnd"/>
      <w:r w:rsidRPr="00696353">
        <w:rPr>
          <w:rFonts w:asciiTheme="majorHAnsi" w:hAnsiTheme="majorHAnsi" w:cstheme="majorHAnsi"/>
          <w:bCs/>
        </w:rPr>
        <w:t xml:space="preserve"> Limited), Simon Troman (</w:t>
      </w:r>
      <w:proofErr w:type="spellStart"/>
      <w:r w:rsidRPr="00696353">
        <w:rPr>
          <w:rFonts w:asciiTheme="majorHAnsi" w:hAnsiTheme="majorHAnsi" w:cstheme="majorHAnsi"/>
          <w:bCs/>
        </w:rPr>
        <w:t>Atratus</w:t>
      </w:r>
      <w:proofErr w:type="spellEnd"/>
      <w:r w:rsidRPr="00696353">
        <w:rPr>
          <w:rFonts w:asciiTheme="majorHAnsi" w:hAnsiTheme="majorHAnsi" w:cstheme="majorHAnsi"/>
          <w:bCs/>
        </w:rPr>
        <w:t xml:space="preserve"> Pty Ltd) and John McCrystal. </w:t>
      </w:r>
    </w:p>
    <w:p w14:paraId="46F841C8" w14:textId="0919FAFF" w:rsidR="006478C7" w:rsidRPr="00696353" w:rsidRDefault="006478C7" w:rsidP="006478C7">
      <w:pPr>
        <w:spacing w:after="0" w:line="240" w:lineRule="auto"/>
        <w:rPr>
          <w:rFonts w:asciiTheme="majorHAnsi" w:hAnsiTheme="majorHAnsi" w:cstheme="majorHAnsi"/>
          <w:b/>
        </w:rPr>
      </w:pPr>
      <w:r w:rsidRPr="00696353">
        <w:rPr>
          <w:rFonts w:asciiTheme="majorHAnsi" w:hAnsiTheme="majorHAnsi" w:cstheme="majorHAnsi"/>
          <w:b/>
        </w:rPr>
        <w:br/>
        <w:t>PCREEE Project Team</w:t>
      </w:r>
      <w:r w:rsidR="00D52002">
        <w:rPr>
          <w:rFonts w:asciiTheme="majorHAnsi" w:hAnsiTheme="majorHAnsi" w:cstheme="majorHAnsi"/>
          <w:b/>
        </w:rPr>
        <w:t xml:space="preserve"> and </w:t>
      </w:r>
      <w:r w:rsidR="00974498">
        <w:rPr>
          <w:rFonts w:asciiTheme="majorHAnsi" w:hAnsiTheme="majorHAnsi" w:cstheme="majorHAnsi"/>
          <w:b/>
        </w:rPr>
        <w:t>Contributors</w:t>
      </w:r>
      <w:r w:rsidRPr="00696353">
        <w:rPr>
          <w:rFonts w:asciiTheme="majorHAnsi" w:hAnsiTheme="majorHAnsi" w:cstheme="majorHAnsi"/>
          <w:b/>
        </w:rPr>
        <w:t xml:space="preserve">: </w:t>
      </w:r>
    </w:p>
    <w:p w14:paraId="3D0061EF" w14:textId="77777777" w:rsidR="006478C7" w:rsidRPr="007456CA" w:rsidRDefault="006478C7" w:rsidP="006478C7">
      <w:pPr>
        <w:spacing w:after="0" w:line="240" w:lineRule="auto"/>
        <w:rPr>
          <w:rFonts w:asciiTheme="majorHAnsi" w:hAnsiTheme="majorHAnsi" w:cstheme="majorHAnsi"/>
        </w:rPr>
      </w:pPr>
      <w:r w:rsidRPr="00696353">
        <w:rPr>
          <w:rFonts w:asciiTheme="majorHAnsi" w:hAnsiTheme="majorHAnsi" w:cstheme="majorHAnsi"/>
        </w:rPr>
        <w:t>Solomone Fifita, Jesse Benjaman</w:t>
      </w:r>
    </w:p>
    <w:p w14:paraId="52B9E437" w14:textId="77777777" w:rsidR="00D52002" w:rsidRDefault="006478C7" w:rsidP="006478C7">
      <w:pPr>
        <w:spacing w:after="0" w:line="240" w:lineRule="auto"/>
        <w:rPr>
          <w:rFonts w:asciiTheme="majorHAnsi" w:hAnsiTheme="majorHAnsi" w:cstheme="majorHAnsi"/>
        </w:rPr>
      </w:pPr>
      <w:r w:rsidRPr="00EB58EC">
        <w:rPr>
          <w:rFonts w:asciiTheme="majorHAnsi" w:hAnsiTheme="majorHAnsi" w:cstheme="majorHAnsi"/>
        </w:rPr>
        <w:t xml:space="preserve">PCREEE </w:t>
      </w:r>
      <w:r w:rsidRPr="009747FC">
        <w:rPr>
          <w:rFonts w:asciiTheme="majorHAnsi" w:hAnsiTheme="majorHAnsi" w:cstheme="majorHAnsi"/>
        </w:rPr>
        <w:t>S</w:t>
      </w:r>
      <w:r w:rsidRPr="00C652EC">
        <w:rPr>
          <w:rFonts w:asciiTheme="majorHAnsi" w:hAnsiTheme="majorHAnsi" w:cstheme="majorHAnsi"/>
        </w:rPr>
        <w:t xml:space="preserve">ecretariat, </w:t>
      </w:r>
    </w:p>
    <w:p w14:paraId="4074FC61" w14:textId="77777777" w:rsidR="006478C7" w:rsidRPr="00696353" w:rsidRDefault="006478C7" w:rsidP="006478C7">
      <w:pPr>
        <w:spacing w:after="0" w:line="240" w:lineRule="auto"/>
        <w:rPr>
          <w:rFonts w:asciiTheme="majorHAnsi" w:hAnsiTheme="majorHAnsi" w:cstheme="majorHAnsi"/>
        </w:rPr>
      </w:pPr>
      <w:r w:rsidRPr="00696353">
        <w:rPr>
          <w:rFonts w:asciiTheme="majorHAnsi" w:hAnsiTheme="majorHAnsi" w:cstheme="majorHAnsi"/>
        </w:rPr>
        <w:t xml:space="preserve">Nuku’alofa, Kingdom of Tonga  </w:t>
      </w:r>
    </w:p>
    <w:p w14:paraId="6302EC61" w14:textId="44BEB704" w:rsidR="006478C7" w:rsidRDefault="006478C7" w:rsidP="006478C7">
      <w:pPr>
        <w:spacing w:after="0" w:line="240" w:lineRule="auto"/>
        <w:rPr>
          <w:rFonts w:asciiTheme="majorHAnsi" w:hAnsiTheme="majorHAnsi" w:cstheme="majorHAnsi"/>
        </w:rPr>
      </w:pPr>
      <w:r w:rsidRPr="00696353">
        <w:rPr>
          <w:rFonts w:asciiTheme="majorHAnsi" w:hAnsiTheme="majorHAnsi" w:cstheme="majorHAnsi"/>
          <w:u w:val="single"/>
        </w:rPr>
        <w:br/>
      </w:r>
      <w:r w:rsidRPr="00696353">
        <w:rPr>
          <w:rFonts w:asciiTheme="majorHAnsi" w:hAnsiTheme="majorHAnsi" w:cstheme="majorHAnsi"/>
          <w:b/>
        </w:rPr>
        <w:t>UNIDO Project Team</w:t>
      </w:r>
      <w:r w:rsidR="00D52002">
        <w:rPr>
          <w:rFonts w:asciiTheme="majorHAnsi" w:hAnsiTheme="majorHAnsi" w:cstheme="majorHAnsi"/>
          <w:b/>
        </w:rPr>
        <w:t xml:space="preserve"> and </w:t>
      </w:r>
      <w:r w:rsidR="00974498">
        <w:rPr>
          <w:rFonts w:asciiTheme="majorHAnsi" w:hAnsiTheme="majorHAnsi" w:cstheme="majorHAnsi"/>
          <w:b/>
        </w:rPr>
        <w:t>Contributors</w:t>
      </w:r>
      <w:r w:rsidRPr="00696353">
        <w:rPr>
          <w:rFonts w:asciiTheme="majorHAnsi" w:hAnsiTheme="majorHAnsi" w:cstheme="majorHAnsi"/>
          <w:b/>
        </w:rPr>
        <w:t>:</w:t>
      </w:r>
      <w:r w:rsidRPr="00696353">
        <w:rPr>
          <w:rFonts w:asciiTheme="majorHAnsi" w:hAnsiTheme="majorHAnsi" w:cstheme="majorHAnsi"/>
        </w:rPr>
        <w:t xml:space="preserve"> </w:t>
      </w:r>
    </w:p>
    <w:p w14:paraId="02332899" w14:textId="77777777" w:rsidR="006478C7" w:rsidRDefault="006478C7" w:rsidP="006478C7">
      <w:pPr>
        <w:spacing w:after="0" w:line="240" w:lineRule="auto"/>
        <w:rPr>
          <w:rFonts w:asciiTheme="majorHAnsi" w:hAnsiTheme="majorHAnsi" w:cstheme="majorHAnsi"/>
        </w:rPr>
      </w:pPr>
      <w:r w:rsidRPr="00696353">
        <w:rPr>
          <w:rFonts w:asciiTheme="majorHAnsi" w:hAnsiTheme="majorHAnsi" w:cstheme="majorHAnsi"/>
        </w:rPr>
        <w:t xml:space="preserve">Martin </w:t>
      </w:r>
      <w:proofErr w:type="spellStart"/>
      <w:r w:rsidRPr="00696353">
        <w:rPr>
          <w:rFonts w:asciiTheme="majorHAnsi" w:hAnsiTheme="majorHAnsi" w:cstheme="majorHAnsi"/>
        </w:rPr>
        <w:t>L</w:t>
      </w:r>
      <w:bookmarkStart w:id="0" w:name="_Hlk38051668"/>
      <w:r w:rsidRPr="00696353">
        <w:rPr>
          <w:rFonts w:asciiTheme="majorHAnsi" w:hAnsiTheme="majorHAnsi" w:cstheme="majorHAnsi"/>
        </w:rPr>
        <w:t>ugmayr</w:t>
      </w:r>
      <w:bookmarkEnd w:id="0"/>
      <w:proofErr w:type="spellEnd"/>
      <w:r w:rsidRPr="00696353">
        <w:rPr>
          <w:rFonts w:asciiTheme="majorHAnsi" w:hAnsiTheme="majorHAnsi" w:cstheme="majorHAnsi"/>
        </w:rPr>
        <w:t xml:space="preserve">, Weijun Shen, </w:t>
      </w:r>
    </w:p>
    <w:p w14:paraId="7FA92382" w14:textId="77777777" w:rsidR="00D52002" w:rsidRDefault="006478C7" w:rsidP="006478C7">
      <w:pPr>
        <w:spacing w:after="0" w:line="240" w:lineRule="auto"/>
        <w:rPr>
          <w:rFonts w:asciiTheme="majorHAnsi" w:hAnsiTheme="majorHAnsi" w:cstheme="majorHAnsi"/>
        </w:rPr>
      </w:pPr>
      <w:r w:rsidRPr="00696353">
        <w:rPr>
          <w:rFonts w:asciiTheme="majorHAnsi" w:hAnsiTheme="majorHAnsi" w:cstheme="majorHAnsi"/>
        </w:rPr>
        <w:t>Climate Policy and Partnerships Division,</w:t>
      </w:r>
    </w:p>
    <w:p w14:paraId="16C43FB2" w14:textId="77777777" w:rsidR="006478C7" w:rsidRDefault="00D52002" w:rsidP="006478C7">
      <w:pPr>
        <w:spacing w:after="0" w:line="240" w:lineRule="auto"/>
        <w:rPr>
          <w:rFonts w:asciiTheme="majorHAnsi" w:hAnsiTheme="majorHAnsi" w:cstheme="majorHAnsi"/>
        </w:rPr>
      </w:pPr>
      <w:r>
        <w:rPr>
          <w:rFonts w:asciiTheme="majorHAnsi" w:hAnsiTheme="majorHAnsi" w:cstheme="majorHAnsi"/>
        </w:rPr>
        <w:t>Department of Energy</w:t>
      </w:r>
      <w:r w:rsidR="006478C7" w:rsidRPr="00696353">
        <w:rPr>
          <w:rFonts w:asciiTheme="majorHAnsi" w:hAnsiTheme="majorHAnsi" w:cstheme="majorHAnsi"/>
        </w:rPr>
        <w:t xml:space="preserve"> </w:t>
      </w:r>
    </w:p>
    <w:p w14:paraId="01CC57D3" w14:textId="77777777" w:rsidR="006478C7" w:rsidRPr="00696353" w:rsidRDefault="006478C7" w:rsidP="006478C7">
      <w:pPr>
        <w:spacing w:after="0" w:line="240" w:lineRule="auto"/>
        <w:rPr>
          <w:rFonts w:asciiTheme="majorHAnsi" w:hAnsiTheme="majorHAnsi" w:cstheme="majorHAnsi"/>
        </w:rPr>
      </w:pPr>
      <w:r>
        <w:rPr>
          <w:rFonts w:asciiTheme="majorHAnsi" w:hAnsiTheme="majorHAnsi" w:cstheme="majorHAnsi"/>
        </w:rPr>
        <w:t>Vienna International Centre (VIC)</w:t>
      </w:r>
    </w:p>
    <w:p w14:paraId="1751EA0F" w14:textId="77777777" w:rsidR="006478C7" w:rsidRPr="00696353" w:rsidRDefault="006478C7" w:rsidP="006478C7">
      <w:pPr>
        <w:tabs>
          <w:tab w:val="left" w:pos="1134"/>
        </w:tabs>
        <w:rPr>
          <w:u w:val="single"/>
        </w:rPr>
      </w:pPr>
    </w:p>
    <w:p w14:paraId="3C8D01F7" w14:textId="77777777" w:rsidR="006478C7" w:rsidRPr="00696353" w:rsidRDefault="006478C7" w:rsidP="006478C7">
      <w:pPr>
        <w:rPr>
          <w:rFonts w:asciiTheme="majorHAnsi" w:hAnsiTheme="majorHAnsi" w:cstheme="majorHAnsi"/>
          <w:b/>
        </w:rPr>
      </w:pPr>
      <w:r w:rsidRPr="00634780">
        <w:rPr>
          <w:noProof/>
          <w:sz w:val="28"/>
          <w:szCs w:val="28"/>
          <w:lang w:val="pt-BR" w:eastAsia="pt-BR"/>
        </w:rPr>
        <w:drawing>
          <wp:anchor distT="0" distB="0" distL="114300" distR="114300" simplePos="0" relativeHeight="251659776" behindDoc="0" locked="0" layoutInCell="1" allowOverlap="1" wp14:anchorId="4377CCD3" wp14:editId="65F994CA">
            <wp:simplePos x="0" y="0"/>
            <wp:positionH relativeFrom="margin">
              <wp:align>left</wp:align>
            </wp:positionH>
            <wp:positionV relativeFrom="paragraph">
              <wp:posOffset>294005</wp:posOffset>
            </wp:positionV>
            <wp:extent cx="1343025" cy="549910"/>
            <wp:effectExtent l="0" t="0" r="0" b="2540"/>
            <wp:wrapThrough wrapText="bothSides">
              <wp:wrapPolygon edited="0">
                <wp:start x="0" y="0"/>
                <wp:lineTo x="0" y="20952"/>
                <wp:lineTo x="21140" y="20952"/>
                <wp:lineTo x="21140" y="0"/>
                <wp:lineTo x="0" y="0"/>
              </wp:wrapPolygon>
            </wp:wrapThrough>
            <wp:docPr id="18" name="Picture 18" descr="C:\Users\UNIDO CPP\Pictures\Norwa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NIDO CPP\Pictures\Norway log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48610" cy="55256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2962FF"/>
          <w:lang w:val="pt-BR" w:eastAsia="pt-BR"/>
        </w:rPr>
        <w:drawing>
          <wp:anchor distT="0" distB="0" distL="114300" distR="114300" simplePos="0" relativeHeight="251661824" behindDoc="0" locked="0" layoutInCell="1" allowOverlap="1" wp14:anchorId="32CDF6EE" wp14:editId="4898625D">
            <wp:simplePos x="0" y="0"/>
            <wp:positionH relativeFrom="margin">
              <wp:posOffset>1638300</wp:posOffset>
            </wp:positionH>
            <wp:positionV relativeFrom="paragraph">
              <wp:posOffset>345440</wp:posOffset>
            </wp:positionV>
            <wp:extent cx="1546860" cy="447675"/>
            <wp:effectExtent l="0" t="0" r="0" b="9525"/>
            <wp:wrapTopAndBottom/>
            <wp:docPr id="17" name="Picture 17" descr="Guidelines">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uidelines">
                      <a:hlinkClick r:id="rId16" tgtFrame="&quot;_blank&quot;"/>
                    </pic:cNvPr>
                    <pic:cNvPicPr>
                      <a:picLocks noChangeAspect="1" noChangeArrowheads="1"/>
                    </pic:cNvPicPr>
                  </pic:nvPicPr>
                  <pic:blipFill rotWithShape="1">
                    <a:blip r:embed="rId17">
                      <a:extLst>
                        <a:ext uri="{28A0092B-C50C-407E-A947-70E740481C1C}">
                          <a14:useLocalDpi xmlns:a14="http://schemas.microsoft.com/office/drawing/2010/main" val="0"/>
                        </a:ext>
                      </a:extLst>
                    </a:blip>
                    <a:srcRect t="20000"/>
                    <a:stretch/>
                  </pic:blipFill>
                  <pic:spPr bwMode="auto">
                    <a:xfrm>
                      <a:off x="0" y="0"/>
                      <a:ext cx="1546860" cy="447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6353">
        <w:rPr>
          <w:rFonts w:asciiTheme="majorHAnsi" w:hAnsiTheme="majorHAnsi" w:cstheme="majorHAnsi"/>
          <w:b/>
        </w:rPr>
        <w:t>With financial support of:</w:t>
      </w:r>
    </w:p>
    <w:p w14:paraId="08913A46" w14:textId="77777777" w:rsidR="006478C7" w:rsidRDefault="006478C7" w:rsidP="006478C7">
      <w:pPr>
        <w:rPr>
          <w:rFonts w:asciiTheme="majorHAnsi" w:hAnsiTheme="majorHAnsi" w:cstheme="majorHAnsi"/>
        </w:rPr>
      </w:pPr>
    </w:p>
    <w:p w14:paraId="4675453A" w14:textId="77777777" w:rsidR="006478C7" w:rsidRDefault="006478C7" w:rsidP="006478C7">
      <w:pPr>
        <w:rPr>
          <w:rFonts w:asciiTheme="majorHAnsi" w:hAnsiTheme="majorHAnsi" w:cstheme="majorHAnsi"/>
          <w:b/>
        </w:rPr>
      </w:pPr>
      <w:r>
        <w:rPr>
          <w:rFonts w:asciiTheme="majorHAnsi" w:hAnsiTheme="majorHAnsi" w:cstheme="majorHAnsi"/>
          <w:b/>
        </w:rPr>
        <w:t>Contact</w:t>
      </w:r>
      <w:r w:rsidRPr="00696353">
        <w:rPr>
          <w:rFonts w:asciiTheme="majorHAnsi" w:hAnsiTheme="majorHAnsi" w:cstheme="majorHAnsi"/>
          <w:b/>
        </w:rPr>
        <w:t>:</w:t>
      </w:r>
    </w:p>
    <w:p w14:paraId="3E32806B" w14:textId="0F68057C" w:rsidR="006257A4" w:rsidRPr="000C13D7" w:rsidRDefault="006478C7" w:rsidP="00FF7D24">
      <w:pPr>
        <w:spacing w:after="0" w:line="240" w:lineRule="auto"/>
        <w:jc w:val="left"/>
        <w:rPr>
          <w:rFonts w:cstheme="minorHAnsi"/>
          <w:b/>
          <w:bCs/>
          <w:color w:val="002060"/>
          <w:sz w:val="24"/>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rPr>
        <w:t>Please do not hesitate to contact the project team:</w:t>
      </w:r>
      <w:r>
        <w:rPr>
          <w:rFonts w:asciiTheme="majorHAnsi" w:hAnsiTheme="majorHAnsi" w:cstheme="majorHAnsi"/>
          <w:b/>
        </w:rPr>
        <w:br/>
      </w:r>
      <w:r w:rsidRPr="00696353">
        <w:rPr>
          <w:rFonts w:asciiTheme="majorHAnsi" w:hAnsiTheme="majorHAnsi" w:cstheme="majorHAnsi"/>
        </w:rPr>
        <w:t>E-Mail:</w:t>
      </w:r>
      <w:r>
        <w:rPr>
          <w:rFonts w:asciiTheme="majorHAnsi" w:hAnsiTheme="majorHAnsi" w:cstheme="majorHAnsi"/>
          <w:b/>
        </w:rPr>
        <w:t xml:space="preserve"> </w:t>
      </w:r>
      <w:hyperlink r:id="rId18" w:history="1">
        <w:r w:rsidRPr="00696353">
          <w:rPr>
            <w:rStyle w:val="Hyperlink"/>
            <w:rFonts w:asciiTheme="majorHAnsi" w:hAnsiTheme="majorHAnsi" w:cstheme="majorHAnsi"/>
          </w:rPr>
          <w:t>emobility</w:t>
        </w:r>
        <w:r w:rsidRPr="00696353">
          <w:rPr>
            <w:rStyle w:val="Hyperlink"/>
            <w:rFonts w:asciiTheme="majorHAnsi" w:hAnsiTheme="majorHAnsi" w:cstheme="majorHAnsi"/>
            <w:lang w:val="en-GB"/>
          </w:rPr>
          <w:t>@pcreee.org</w:t>
        </w:r>
      </w:hyperlink>
      <w:r w:rsidRPr="00696353">
        <w:rPr>
          <w:rFonts w:asciiTheme="majorHAnsi" w:hAnsiTheme="majorHAnsi" w:cstheme="majorHAnsi"/>
          <w:b/>
          <w:lang w:val="en-GB"/>
        </w:rPr>
        <w:t xml:space="preserve"> </w:t>
      </w:r>
      <w:r>
        <w:rPr>
          <w:rFonts w:asciiTheme="majorHAnsi" w:hAnsiTheme="majorHAnsi" w:cstheme="majorHAnsi"/>
          <w:lang w:val="en-GB"/>
        </w:rPr>
        <w:t xml:space="preserve">or </w:t>
      </w:r>
      <w:hyperlink r:id="rId19" w:history="1">
        <w:r w:rsidRPr="00C65DAB">
          <w:rPr>
            <w:rStyle w:val="Hyperlink"/>
            <w:rFonts w:asciiTheme="majorHAnsi" w:hAnsiTheme="majorHAnsi" w:cstheme="majorHAnsi"/>
            <w:lang w:val="en-GB"/>
          </w:rPr>
          <w:t>emobility@gn-sec.net</w:t>
        </w:r>
      </w:hyperlink>
    </w:p>
    <w:p w14:paraId="32755A8B" w14:textId="77777777" w:rsidR="006478C7" w:rsidRDefault="006478C7">
      <w:pPr>
        <w:jc w:val="left"/>
        <w:rPr>
          <w:rFonts w:cstheme="minorHAnsi"/>
          <w:b/>
          <w:bCs/>
          <w:color w:val="002060"/>
          <w:sz w:val="32"/>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cstheme="minorHAnsi"/>
          <w:b/>
          <w:bCs/>
          <w:color w:val="002060"/>
          <w:sz w:val="32"/>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ype="page"/>
      </w:r>
    </w:p>
    <w:p w14:paraId="7C256C0F" w14:textId="32E2FFB6" w:rsidR="009832C6" w:rsidRPr="000C13D7" w:rsidRDefault="009832C6" w:rsidP="000C13D7">
      <w:pPr>
        <w:spacing w:after="120" w:line="276" w:lineRule="auto"/>
        <w:jc w:val="center"/>
        <w:rPr>
          <w:rFonts w:cstheme="minorHAnsi"/>
          <w:b/>
          <w:bCs/>
          <w:color w:val="00206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2AF82B2" w14:textId="77777777" w:rsidR="009832C6" w:rsidRPr="000C13D7" w:rsidRDefault="009832C6">
      <w:pPr>
        <w:spacing w:after="120"/>
        <w:ind w:left="426" w:hanging="426"/>
        <w:rPr>
          <w:rFonts w:cstheme="minorHAnsi"/>
          <w:sz w:val="8"/>
          <w:szCs w:val="8"/>
        </w:rPr>
      </w:pPr>
    </w:p>
    <w:sdt>
      <w:sdtPr>
        <w:rPr>
          <w:rFonts w:asciiTheme="majorHAnsi" w:hAnsiTheme="majorHAnsi" w:cstheme="majorHAnsi"/>
          <w:b/>
          <w:color w:val="1F3864" w:themeColor="accent1" w:themeShade="80"/>
          <w:sz w:val="18"/>
        </w:rPr>
        <w:id w:val="-1654524688"/>
        <w:docPartObj>
          <w:docPartGallery w:val="Table of Contents"/>
          <w:docPartUnique/>
        </w:docPartObj>
      </w:sdtPr>
      <w:sdtEndPr>
        <w:rPr>
          <w:rFonts w:asciiTheme="minorHAnsi" w:hAnsiTheme="minorHAnsi" w:cstheme="minorBidi"/>
          <w:b w:val="0"/>
          <w:noProof/>
          <w:color w:val="auto"/>
        </w:rPr>
      </w:sdtEndPr>
      <w:sdtContent>
        <w:p w14:paraId="425DAF97" w14:textId="4F1FA2F9" w:rsidR="001A54A5" w:rsidRPr="00FF7D24" w:rsidRDefault="00466770" w:rsidP="00F614B5">
          <w:pPr>
            <w:tabs>
              <w:tab w:val="center" w:pos="4513"/>
              <w:tab w:val="right" w:pos="9026"/>
            </w:tabs>
            <w:spacing w:after="0" w:line="216" w:lineRule="auto"/>
            <w:rPr>
              <w:rFonts w:cstheme="minorHAnsi"/>
              <w:b/>
              <w:color w:val="1F3864" w:themeColor="accent1" w:themeShade="80"/>
            </w:rPr>
          </w:pPr>
          <w:r w:rsidRPr="00FF7D24">
            <w:rPr>
              <w:rFonts w:cstheme="minorHAnsi"/>
              <w:b/>
              <w:color w:val="1F3864" w:themeColor="accent1" w:themeShade="80"/>
            </w:rPr>
            <w:t>Table of Content</w:t>
          </w:r>
        </w:p>
        <w:p w14:paraId="1F25FAD1" w14:textId="77777777" w:rsidR="000C13D7" w:rsidRPr="00CE601B" w:rsidRDefault="000C13D7" w:rsidP="00F614B5">
          <w:pPr>
            <w:tabs>
              <w:tab w:val="center" w:pos="4513"/>
              <w:tab w:val="right" w:pos="9026"/>
            </w:tabs>
            <w:spacing w:after="0" w:line="216" w:lineRule="auto"/>
            <w:rPr>
              <w:rFonts w:cstheme="minorHAnsi"/>
              <w:color w:val="1F3864" w:themeColor="accent1" w:themeShade="80"/>
            </w:rPr>
          </w:pPr>
        </w:p>
        <w:p w14:paraId="44E8969A" w14:textId="78A78D6B" w:rsidR="00C416C7" w:rsidRPr="00C416C7" w:rsidRDefault="001A54A5">
          <w:pPr>
            <w:pStyle w:val="TOC1"/>
            <w:tabs>
              <w:tab w:val="left" w:pos="440"/>
              <w:tab w:val="right" w:leader="dot" w:pos="9016"/>
            </w:tabs>
            <w:rPr>
              <w:rFonts w:eastAsiaTheme="minorEastAsia"/>
              <w:noProof/>
              <w:lang w:eastAsia="en-NZ"/>
            </w:rPr>
          </w:pPr>
          <w:r w:rsidRPr="00C416C7">
            <w:rPr>
              <w:sz w:val="18"/>
            </w:rPr>
            <w:fldChar w:fldCharType="begin"/>
          </w:r>
          <w:r w:rsidRPr="00C416C7">
            <w:rPr>
              <w:sz w:val="18"/>
            </w:rPr>
            <w:instrText xml:space="preserve"> TOC \o "1-3" \h \z \u </w:instrText>
          </w:r>
          <w:r w:rsidRPr="00C416C7">
            <w:rPr>
              <w:sz w:val="18"/>
            </w:rPr>
            <w:fldChar w:fldCharType="separate"/>
          </w:r>
          <w:hyperlink w:anchor="_Toc36839558" w:history="1">
            <w:r w:rsidR="00C416C7" w:rsidRPr="00C416C7">
              <w:rPr>
                <w:rStyle w:val="Hyperlink"/>
                <w:rFonts w:cstheme="minorHAnsi"/>
                <w:noProof/>
              </w:rPr>
              <w:t>1</w:t>
            </w:r>
            <w:r w:rsidR="00C416C7" w:rsidRPr="00C416C7">
              <w:rPr>
                <w:rFonts w:eastAsiaTheme="minorEastAsia"/>
                <w:noProof/>
                <w:lang w:eastAsia="en-NZ"/>
              </w:rPr>
              <w:tab/>
            </w:r>
            <w:r w:rsidR="00C416C7" w:rsidRPr="00C416C7">
              <w:rPr>
                <w:rStyle w:val="Hyperlink"/>
                <w:rFonts w:cstheme="minorHAnsi"/>
                <w:noProof/>
              </w:rPr>
              <w:t>Introduction</w:t>
            </w:r>
            <w:r w:rsidR="00C416C7" w:rsidRPr="00C416C7">
              <w:rPr>
                <w:noProof/>
                <w:webHidden/>
              </w:rPr>
              <w:tab/>
            </w:r>
            <w:r w:rsidR="00C416C7" w:rsidRPr="00C416C7">
              <w:rPr>
                <w:noProof/>
                <w:webHidden/>
              </w:rPr>
              <w:fldChar w:fldCharType="begin"/>
            </w:r>
            <w:r w:rsidR="00C416C7" w:rsidRPr="00C416C7">
              <w:rPr>
                <w:noProof/>
                <w:webHidden/>
              </w:rPr>
              <w:instrText xml:space="preserve"> PAGEREF _Toc36839558 \h </w:instrText>
            </w:r>
            <w:r w:rsidR="00C416C7" w:rsidRPr="00C416C7">
              <w:rPr>
                <w:noProof/>
                <w:webHidden/>
              </w:rPr>
            </w:r>
            <w:r w:rsidR="00C416C7" w:rsidRPr="00C416C7">
              <w:rPr>
                <w:noProof/>
                <w:webHidden/>
              </w:rPr>
              <w:fldChar w:fldCharType="separate"/>
            </w:r>
            <w:r w:rsidR="00FA456C">
              <w:rPr>
                <w:noProof/>
                <w:webHidden/>
              </w:rPr>
              <w:t>5</w:t>
            </w:r>
            <w:r w:rsidR="00C416C7" w:rsidRPr="00C416C7">
              <w:rPr>
                <w:noProof/>
                <w:webHidden/>
              </w:rPr>
              <w:fldChar w:fldCharType="end"/>
            </w:r>
          </w:hyperlink>
        </w:p>
        <w:p w14:paraId="29E66C3C" w14:textId="0DF66BE3" w:rsidR="00C416C7" w:rsidRPr="00C416C7" w:rsidRDefault="008B2E29">
          <w:pPr>
            <w:pStyle w:val="TOC1"/>
            <w:tabs>
              <w:tab w:val="left" w:pos="440"/>
              <w:tab w:val="right" w:leader="dot" w:pos="9016"/>
            </w:tabs>
            <w:rPr>
              <w:rFonts w:eastAsiaTheme="minorEastAsia"/>
              <w:noProof/>
              <w:lang w:eastAsia="en-NZ"/>
            </w:rPr>
          </w:pPr>
          <w:hyperlink w:anchor="_Toc36839559" w:history="1">
            <w:r w:rsidR="00C416C7" w:rsidRPr="00C416C7">
              <w:rPr>
                <w:rStyle w:val="Hyperlink"/>
                <w:rFonts w:cstheme="minorHAnsi"/>
                <w:noProof/>
              </w:rPr>
              <w:t>2</w:t>
            </w:r>
            <w:r w:rsidR="00C416C7" w:rsidRPr="00C416C7">
              <w:rPr>
                <w:rFonts w:eastAsiaTheme="minorEastAsia"/>
                <w:noProof/>
                <w:lang w:eastAsia="en-NZ"/>
              </w:rPr>
              <w:tab/>
            </w:r>
            <w:r w:rsidR="00C416C7" w:rsidRPr="00C416C7">
              <w:rPr>
                <w:rStyle w:val="Hyperlink"/>
                <w:rFonts w:cstheme="minorHAnsi"/>
                <w:noProof/>
              </w:rPr>
              <w:t>Structure</w:t>
            </w:r>
            <w:r w:rsidR="00C416C7" w:rsidRPr="00C416C7">
              <w:rPr>
                <w:noProof/>
                <w:webHidden/>
              </w:rPr>
              <w:tab/>
            </w:r>
            <w:r w:rsidR="00C416C7" w:rsidRPr="00C416C7">
              <w:rPr>
                <w:noProof/>
                <w:webHidden/>
              </w:rPr>
              <w:fldChar w:fldCharType="begin"/>
            </w:r>
            <w:r w:rsidR="00C416C7" w:rsidRPr="00C416C7">
              <w:rPr>
                <w:noProof/>
                <w:webHidden/>
              </w:rPr>
              <w:instrText xml:space="preserve"> PAGEREF _Toc36839559 \h </w:instrText>
            </w:r>
            <w:r w:rsidR="00C416C7" w:rsidRPr="00C416C7">
              <w:rPr>
                <w:noProof/>
                <w:webHidden/>
              </w:rPr>
            </w:r>
            <w:r w:rsidR="00C416C7" w:rsidRPr="00C416C7">
              <w:rPr>
                <w:noProof/>
                <w:webHidden/>
              </w:rPr>
              <w:fldChar w:fldCharType="separate"/>
            </w:r>
            <w:r w:rsidR="00FA456C">
              <w:rPr>
                <w:noProof/>
                <w:webHidden/>
              </w:rPr>
              <w:t>6</w:t>
            </w:r>
            <w:r w:rsidR="00C416C7" w:rsidRPr="00C416C7">
              <w:rPr>
                <w:noProof/>
                <w:webHidden/>
              </w:rPr>
              <w:fldChar w:fldCharType="end"/>
            </w:r>
          </w:hyperlink>
        </w:p>
        <w:p w14:paraId="07D30EEB" w14:textId="2CA8BAC8" w:rsidR="00C416C7" w:rsidRPr="00C416C7" w:rsidRDefault="00A83E54">
          <w:pPr>
            <w:pStyle w:val="TOC1"/>
            <w:tabs>
              <w:tab w:val="left" w:pos="440"/>
              <w:tab w:val="right" w:leader="dot" w:pos="9016"/>
            </w:tabs>
            <w:rPr>
              <w:rFonts w:eastAsiaTheme="minorEastAsia"/>
              <w:noProof/>
              <w:lang w:eastAsia="en-NZ"/>
            </w:rPr>
          </w:pPr>
          <w:hyperlink w:anchor="_Toc36839560" w:history="1">
            <w:r w:rsidR="00C416C7" w:rsidRPr="00C416C7">
              <w:rPr>
                <w:rStyle w:val="Hyperlink"/>
                <w:rFonts w:cstheme="minorHAnsi"/>
                <w:noProof/>
              </w:rPr>
              <w:t>3</w:t>
            </w:r>
            <w:r w:rsidR="00C416C7" w:rsidRPr="00C416C7">
              <w:rPr>
                <w:rFonts w:eastAsiaTheme="minorEastAsia"/>
                <w:noProof/>
                <w:lang w:eastAsia="en-NZ"/>
              </w:rPr>
              <w:tab/>
            </w:r>
            <w:r w:rsidR="00C416C7" w:rsidRPr="00C416C7">
              <w:rPr>
                <w:rStyle w:val="Hyperlink"/>
                <w:rFonts w:cstheme="minorHAnsi"/>
                <w:noProof/>
              </w:rPr>
              <w:t>Identified E-Mobility Options and Policy Actions</w:t>
            </w:r>
            <w:r w:rsidR="00C416C7" w:rsidRPr="00C416C7">
              <w:rPr>
                <w:noProof/>
                <w:webHidden/>
              </w:rPr>
              <w:tab/>
            </w:r>
            <w:r w:rsidR="00C416C7" w:rsidRPr="00C416C7">
              <w:rPr>
                <w:noProof/>
                <w:webHidden/>
              </w:rPr>
              <w:fldChar w:fldCharType="begin"/>
            </w:r>
            <w:r w:rsidR="00C416C7" w:rsidRPr="00C416C7">
              <w:rPr>
                <w:noProof/>
                <w:webHidden/>
              </w:rPr>
              <w:instrText xml:space="preserve"> PAGEREF _Toc36839560 \h </w:instrText>
            </w:r>
            <w:r w:rsidR="00C416C7" w:rsidRPr="00C416C7">
              <w:rPr>
                <w:noProof/>
                <w:webHidden/>
              </w:rPr>
            </w:r>
            <w:r w:rsidR="00C416C7" w:rsidRPr="00C416C7">
              <w:rPr>
                <w:noProof/>
                <w:webHidden/>
              </w:rPr>
              <w:fldChar w:fldCharType="separate"/>
            </w:r>
            <w:r w:rsidR="00FA456C">
              <w:rPr>
                <w:noProof/>
                <w:webHidden/>
              </w:rPr>
              <w:t>6</w:t>
            </w:r>
            <w:r w:rsidR="00C416C7" w:rsidRPr="00C416C7">
              <w:rPr>
                <w:noProof/>
                <w:webHidden/>
              </w:rPr>
              <w:fldChar w:fldCharType="end"/>
            </w:r>
          </w:hyperlink>
        </w:p>
        <w:p w14:paraId="46F00E09" w14:textId="22E36C31" w:rsidR="00C416C7" w:rsidRPr="00C416C7" w:rsidRDefault="008B2E29">
          <w:pPr>
            <w:pStyle w:val="TOC1"/>
            <w:tabs>
              <w:tab w:val="left" w:pos="440"/>
              <w:tab w:val="right" w:leader="dot" w:pos="9016"/>
            </w:tabs>
            <w:rPr>
              <w:rFonts w:eastAsiaTheme="minorEastAsia"/>
              <w:noProof/>
              <w:lang w:eastAsia="en-NZ"/>
            </w:rPr>
          </w:pPr>
          <w:hyperlink w:anchor="_Toc36839561" w:history="1">
            <w:r w:rsidR="00C416C7" w:rsidRPr="00C416C7">
              <w:rPr>
                <w:rStyle w:val="Hyperlink"/>
                <w:rFonts w:ascii="Calibri" w:hAnsi="Calibri" w:cs="Calibri"/>
                <w:noProof/>
              </w:rPr>
              <w:t>4</w:t>
            </w:r>
            <w:r w:rsidR="00C416C7" w:rsidRPr="00C416C7">
              <w:rPr>
                <w:rFonts w:eastAsiaTheme="minorEastAsia"/>
                <w:noProof/>
                <w:lang w:eastAsia="en-NZ"/>
              </w:rPr>
              <w:tab/>
            </w:r>
            <w:r w:rsidR="00C416C7" w:rsidRPr="00C416C7">
              <w:rPr>
                <w:rStyle w:val="Hyperlink"/>
                <w:rFonts w:ascii="Calibri" w:hAnsi="Calibri" w:cs="Calibri"/>
                <w:noProof/>
              </w:rPr>
              <w:t>Context for the Working Environment of the Regional EV Program</w:t>
            </w:r>
            <w:r w:rsidR="00C416C7" w:rsidRPr="00C416C7">
              <w:rPr>
                <w:noProof/>
                <w:webHidden/>
              </w:rPr>
              <w:tab/>
            </w:r>
            <w:r w:rsidR="00C416C7" w:rsidRPr="00C416C7">
              <w:rPr>
                <w:noProof/>
                <w:webHidden/>
              </w:rPr>
              <w:fldChar w:fldCharType="begin"/>
            </w:r>
            <w:r w:rsidR="00C416C7" w:rsidRPr="00C416C7">
              <w:rPr>
                <w:noProof/>
                <w:webHidden/>
              </w:rPr>
              <w:instrText xml:space="preserve"> PAGEREF _Toc36839561 \h </w:instrText>
            </w:r>
            <w:r w:rsidR="00C416C7" w:rsidRPr="00C416C7">
              <w:rPr>
                <w:noProof/>
                <w:webHidden/>
              </w:rPr>
            </w:r>
            <w:r w:rsidR="00C416C7" w:rsidRPr="00C416C7">
              <w:rPr>
                <w:noProof/>
                <w:webHidden/>
              </w:rPr>
              <w:fldChar w:fldCharType="separate"/>
            </w:r>
            <w:r w:rsidR="00FA456C">
              <w:rPr>
                <w:noProof/>
                <w:webHidden/>
              </w:rPr>
              <w:t>9</w:t>
            </w:r>
            <w:r w:rsidR="00C416C7" w:rsidRPr="00C416C7">
              <w:rPr>
                <w:noProof/>
                <w:webHidden/>
              </w:rPr>
              <w:fldChar w:fldCharType="end"/>
            </w:r>
          </w:hyperlink>
        </w:p>
        <w:p w14:paraId="02573FBF" w14:textId="4B0AF7EE" w:rsidR="00C416C7" w:rsidRPr="00C416C7" w:rsidRDefault="008B2E29">
          <w:pPr>
            <w:pStyle w:val="TOC1"/>
            <w:tabs>
              <w:tab w:val="left" w:pos="440"/>
              <w:tab w:val="right" w:leader="dot" w:pos="9016"/>
            </w:tabs>
            <w:rPr>
              <w:rFonts w:eastAsiaTheme="minorEastAsia"/>
              <w:noProof/>
              <w:lang w:eastAsia="en-NZ"/>
            </w:rPr>
          </w:pPr>
          <w:hyperlink w:anchor="_Toc36839562" w:history="1">
            <w:r w:rsidR="00C416C7" w:rsidRPr="00C416C7">
              <w:rPr>
                <w:rStyle w:val="Hyperlink"/>
                <w:rFonts w:cstheme="minorHAnsi"/>
                <w:noProof/>
              </w:rPr>
              <w:t>5</w:t>
            </w:r>
            <w:r w:rsidR="00C416C7" w:rsidRPr="00C416C7">
              <w:rPr>
                <w:rFonts w:eastAsiaTheme="minorEastAsia"/>
                <w:noProof/>
                <w:lang w:eastAsia="en-NZ"/>
              </w:rPr>
              <w:tab/>
            </w:r>
            <w:r w:rsidR="00C416C7" w:rsidRPr="00C416C7">
              <w:rPr>
                <w:rStyle w:val="Hyperlink"/>
                <w:rFonts w:ascii="Calibri" w:hAnsi="Calibri" w:cs="Calibri"/>
                <w:noProof/>
              </w:rPr>
              <w:t>Proposed Design of the Regional EV Program</w:t>
            </w:r>
            <w:r w:rsidR="00C416C7" w:rsidRPr="00C416C7">
              <w:rPr>
                <w:noProof/>
                <w:webHidden/>
              </w:rPr>
              <w:tab/>
            </w:r>
            <w:r w:rsidR="00C416C7" w:rsidRPr="00C416C7">
              <w:rPr>
                <w:noProof/>
                <w:webHidden/>
              </w:rPr>
              <w:fldChar w:fldCharType="begin"/>
            </w:r>
            <w:r w:rsidR="00C416C7" w:rsidRPr="00C416C7">
              <w:rPr>
                <w:noProof/>
                <w:webHidden/>
              </w:rPr>
              <w:instrText xml:space="preserve"> PAGEREF _Toc36839562 \h </w:instrText>
            </w:r>
            <w:r w:rsidR="00C416C7" w:rsidRPr="00C416C7">
              <w:rPr>
                <w:noProof/>
                <w:webHidden/>
              </w:rPr>
            </w:r>
            <w:r w:rsidR="00C416C7" w:rsidRPr="00C416C7">
              <w:rPr>
                <w:noProof/>
                <w:webHidden/>
              </w:rPr>
              <w:fldChar w:fldCharType="separate"/>
            </w:r>
            <w:r w:rsidR="00FA456C">
              <w:rPr>
                <w:noProof/>
                <w:webHidden/>
              </w:rPr>
              <w:t>11</w:t>
            </w:r>
            <w:r w:rsidR="00C416C7" w:rsidRPr="00C416C7">
              <w:rPr>
                <w:noProof/>
                <w:webHidden/>
              </w:rPr>
              <w:fldChar w:fldCharType="end"/>
            </w:r>
          </w:hyperlink>
        </w:p>
        <w:p w14:paraId="68353902" w14:textId="7BB1C55E" w:rsidR="00C416C7" w:rsidRPr="00C416C7" w:rsidRDefault="008B2E29">
          <w:pPr>
            <w:pStyle w:val="TOC2"/>
            <w:rPr>
              <w:rFonts w:eastAsiaTheme="minorEastAsia"/>
              <w:noProof/>
              <w:lang w:eastAsia="en-NZ"/>
            </w:rPr>
          </w:pPr>
          <w:hyperlink w:anchor="_Toc36839563" w:history="1">
            <w:r w:rsidR="00C416C7" w:rsidRPr="00C416C7">
              <w:rPr>
                <w:rStyle w:val="Hyperlink"/>
                <w:rFonts w:cstheme="minorHAnsi"/>
                <w:noProof/>
              </w:rPr>
              <w:t>5.1</w:t>
            </w:r>
            <w:r w:rsidR="00C416C7" w:rsidRPr="00C416C7">
              <w:rPr>
                <w:rFonts w:eastAsiaTheme="minorEastAsia"/>
                <w:noProof/>
                <w:lang w:eastAsia="en-NZ"/>
              </w:rPr>
              <w:tab/>
            </w:r>
            <w:r w:rsidR="00C416C7" w:rsidRPr="00C416C7">
              <w:rPr>
                <w:rStyle w:val="Hyperlink"/>
                <w:rFonts w:cstheme="minorHAnsi"/>
                <w:noProof/>
              </w:rPr>
              <w:t>Introduction</w:t>
            </w:r>
            <w:r w:rsidR="00C416C7" w:rsidRPr="00C416C7">
              <w:rPr>
                <w:noProof/>
                <w:webHidden/>
              </w:rPr>
              <w:tab/>
            </w:r>
            <w:r w:rsidR="00C416C7" w:rsidRPr="00C416C7">
              <w:rPr>
                <w:noProof/>
                <w:webHidden/>
              </w:rPr>
              <w:fldChar w:fldCharType="begin"/>
            </w:r>
            <w:r w:rsidR="00C416C7" w:rsidRPr="00C416C7">
              <w:rPr>
                <w:noProof/>
                <w:webHidden/>
              </w:rPr>
              <w:instrText xml:space="preserve"> PAGEREF _Toc36839563 \h </w:instrText>
            </w:r>
            <w:r w:rsidR="00C416C7" w:rsidRPr="00C416C7">
              <w:rPr>
                <w:noProof/>
                <w:webHidden/>
              </w:rPr>
            </w:r>
            <w:r w:rsidR="00C416C7" w:rsidRPr="00C416C7">
              <w:rPr>
                <w:noProof/>
                <w:webHidden/>
              </w:rPr>
              <w:fldChar w:fldCharType="separate"/>
            </w:r>
            <w:r w:rsidR="00FA456C">
              <w:rPr>
                <w:noProof/>
                <w:webHidden/>
              </w:rPr>
              <w:t>11</w:t>
            </w:r>
            <w:r w:rsidR="00C416C7" w:rsidRPr="00C416C7">
              <w:rPr>
                <w:noProof/>
                <w:webHidden/>
              </w:rPr>
              <w:fldChar w:fldCharType="end"/>
            </w:r>
          </w:hyperlink>
        </w:p>
        <w:p w14:paraId="5CD8EB87" w14:textId="4ECD1560" w:rsidR="00C416C7" w:rsidRPr="00C416C7" w:rsidRDefault="008B2E29">
          <w:pPr>
            <w:pStyle w:val="TOC2"/>
            <w:rPr>
              <w:rFonts w:eastAsiaTheme="minorEastAsia"/>
              <w:noProof/>
              <w:lang w:eastAsia="en-NZ"/>
            </w:rPr>
          </w:pPr>
          <w:hyperlink w:anchor="_Toc36839564" w:history="1">
            <w:r w:rsidR="00C416C7" w:rsidRPr="00C416C7">
              <w:rPr>
                <w:rStyle w:val="Hyperlink"/>
                <w:rFonts w:cstheme="minorHAnsi"/>
                <w:noProof/>
              </w:rPr>
              <w:t>5.2</w:t>
            </w:r>
            <w:r w:rsidR="00C416C7" w:rsidRPr="00C416C7">
              <w:rPr>
                <w:rFonts w:eastAsiaTheme="minorEastAsia"/>
                <w:noProof/>
                <w:lang w:eastAsia="en-NZ"/>
              </w:rPr>
              <w:tab/>
            </w:r>
            <w:r w:rsidR="00C416C7" w:rsidRPr="00C416C7">
              <w:rPr>
                <w:rStyle w:val="Hyperlink"/>
                <w:rFonts w:cstheme="minorHAnsi"/>
                <w:noProof/>
              </w:rPr>
              <w:t>Proposed Management and Governance Structure</w:t>
            </w:r>
            <w:r w:rsidR="00C416C7" w:rsidRPr="00C416C7">
              <w:rPr>
                <w:noProof/>
                <w:webHidden/>
              </w:rPr>
              <w:tab/>
            </w:r>
            <w:r w:rsidR="00C416C7" w:rsidRPr="00C416C7">
              <w:rPr>
                <w:noProof/>
                <w:webHidden/>
              </w:rPr>
              <w:fldChar w:fldCharType="begin"/>
            </w:r>
            <w:r w:rsidR="00C416C7" w:rsidRPr="00C416C7">
              <w:rPr>
                <w:noProof/>
                <w:webHidden/>
              </w:rPr>
              <w:instrText xml:space="preserve"> PAGEREF _Toc36839564 \h </w:instrText>
            </w:r>
            <w:r w:rsidR="00C416C7" w:rsidRPr="00C416C7">
              <w:rPr>
                <w:noProof/>
                <w:webHidden/>
              </w:rPr>
            </w:r>
            <w:r w:rsidR="00C416C7" w:rsidRPr="00C416C7">
              <w:rPr>
                <w:noProof/>
                <w:webHidden/>
              </w:rPr>
              <w:fldChar w:fldCharType="separate"/>
            </w:r>
            <w:r w:rsidR="00FA456C">
              <w:rPr>
                <w:noProof/>
                <w:webHidden/>
              </w:rPr>
              <w:t>11</w:t>
            </w:r>
            <w:r w:rsidR="00C416C7" w:rsidRPr="00C416C7">
              <w:rPr>
                <w:noProof/>
                <w:webHidden/>
              </w:rPr>
              <w:fldChar w:fldCharType="end"/>
            </w:r>
          </w:hyperlink>
        </w:p>
        <w:p w14:paraId="08D076CF" w14:textId="73A36E52" w:rsidR="00C416C7" w:rsidRPr="00C416C7" w:rsidRDefault="008B2E29">
          <w:pPr>
            <w:pStyle w:val="TOC2"/>
            <w:rPr>
              <w:rFonts w:eastAsiaTheme="minorEastAsia"/>
              <w:noProof/>
              <w:lang w:eastAsia="en-NZ"/>
            </w:rPr>
          </w:pPr>
          <w:hyperlink w:anchor="_Toc36839565" w:history="1">
            <w:r w:rsidR="00C416C7" w:rsidRPr="00C416C7">
              <w:rPr>
                <w:rStyle w:val="Hyperlink"/>
                <w:rFonts w:cstheme="minorHAnsi"/>
                <w:noProof/>
              </w:rPr>
              <w:t>5.3</w:t>
            </w:r>
            <w:r w:rsidR="00C416C7" w:rsidRPr="00C416C7">
              <w:rPr>
                <w:rFonts w:eastAsiaTheme="minorEastAsia"/>
                <w:noProof/>
                <w:lang w:eastAsia="en-NZ"/>
              </w:rPr>
              <w:tab/>
            </w:r>
            <w:r w:rsidR="00C416C7" w:rsidRPr="00C416C7">
              <w:rPr>
                <w:rStyle w:val="Hyperlink"/>
                <w:rFonts w:cstheme="minorHAnsi"/>
                <w:noProof/>
              </w:rPr>
              <w:t>Regional EV Program Funding Mechanisms</w:t>
            </w:r>
            <w:r w:rsidR="00C416C7" w:rsidRPr="00C416C7">
              <w:rPr>
                <w:noProof/>
                <w:webHidden/>
              </w:rPr>
              <w:tab/>
            </w:r>
            <w:r w:rsidR="00C416C7" w:rsidRPr="00C416C7">
              <w:rPr>
                <w:noProof/>
                <w:webHidden/>
              </w:rPr>
              <w:fldChar w:fldCharType="begin"/>
            </w:r>
            <w:r w:rsidR="00C416C7" w:rsidRPr="00C416C7">
              <w:rPr>
                <w:noProof/>
                <w:webHidden/>
              </w:rPr>
              <w:instrText xml:space="preserve"> PAGEREF _Toc36839565 \h </w:instrText>
            </w:r>
            <w:r w:rsidR="00C416C7" w:rsidRPr="00C416C7">
              <w:rPr>
                <w:noProof/>
                <w:webHidden/>
              </w:rPr>
            </w:r>
            <w:r w:rsidR="00C416C7" w:rsidRPr="00C416C7">
              <w:rPr>
                <w:noProof/>
                <w:webHidden/>
              </w:rPr>
              <w:fldChar w:fldCharType="separate"/>
            </w:r>
            <w:r w:rsidR="00FA456C">
              <w:rPr>
                <w:noProof/>
                <w:webHidden/>
              </w:rPr>
              <w:t>14</w:t>
            </w:r>
            <w:r w:rsidR="00C416C7" w:rsidRPr="00C416C7">
              <w:rPr>
                <w:noProof/>
                <w:webHidden/>
              </w:rPr>
              <w:fldChar w:fldCharType="end"/>
            </w:r>
          </w:hyperlink>
        </w:p>
        <w:p w14:paraId="406A91BB" w14:textId="3616AF2E" w:rsidR="00C416C7" w:rsidRPr="00C416C7" w:rsidRDefault="008B2E29">
          <w:pPr>
            <w:pStyle w:val="TOC2"/>
            <w:rPr>
              <w:rFonts w:eastAsiaTheme="minorEastAsia"/>
              <w:noProof/>
              <w:lang w:eastAsia="en-NZ"/>
            </w:rPr>
          </w:pPr>
          <w:hyperlink w:anchor="_Toc36839566" w:history="1">
            <w:r w:rsidR="00C416C7" w:rsidRPr="00C416C7">
              <w:rPr>
                <w:rStyle w:val="Hyperlink"/>
                <w:rFonts w:cstheme="minorHAnsi"/>
                <w:noProof/>
              </w:rPr>
              <w:t>5.4</w:t>
            </w:r>
            <w:r w:rsidR="00C416C7" w:rsidRPr="00C416C7">
              <w:rPr>
                <w:rFonts w:eastAsiaTheme="minorEastAsia"/>
                <w:noProof/>
                <w:lang w:eastAsia="en-NZ"/>
              </w:rPr>
              <w:tab/>
            </w:r>
            <w:r w:rsidR="00C416C7" w:rsidRPr="00C416C7">
              <w:rPr>
                <w:rStyle w:val="Hyperlink"/>
                <w:rFonts w:cstheme="minorHAnsi"/>
                <w:noProof/>
              </w:rPr>
              <w:t>Proposed Regional Electric Vehicle Program Results Framework</w:t>
            </w:r>
            <w:r w:rsidR="00C416C7" w:rsidRPr="00C416C7">
              <w:rPr>
                <w:noProof/>
                <w:webHidden/>
              </w:rPr>
              <w:tab/>
            </w:r>
            <w:r w:rsidR="00C416C7" w:rsidRPr="00C416C7">
              <w:rPr>
                <w:noProof/>
                <w:webHidden/>
              </w:rPr>
              <w:fldChar w:fldCharType="begin"/>
            </w:r>
            <w:r w:rsidR="00C416C7" w:rsidRPr="00C416C7">
              <w:rPr>
                <w:noProof/>
                <w:webHidden/>
              </w:rPr>
              <w:instrText xml:space="preserve"> PAGEREF _Toc36839566 \h </w:instrText>
            </w:r>
            <w:r w:rsidR="00C416C7" w:rsidRPr="00C416C7">
              <w:rPr>
                <w:noProof/>
                <w:webHidden/>
              </w:rPr>
            </w:r>
            <w:r w:rsidR="00C416C7" w:rsidRPr="00C416C7">
              <w:rPr>
                <w:noProof/>
                <w:webHidden/>
              </w:rPr>
              <w:fldChar w:fldCharType="separate"/>
            </w:r>
            <w:r w:rsidR="00FA456C">
              <w:rPr>
                <w:noProof/>
                <w:webHidden/>
              </w:rPr>
              <w:t>15</w:t>
            </w:r>
            <w:r w:rsidR="00C416C7" w:rsidRPr="00C416C7">
              <w:rPr>
                <w:noProof/>
                <w:webHidden/>
              </w:rPr>
              <w:fldChar w:fldCharType="end"/>
            </w:r>
          </w:hyperlink>
        </w:p>
        <w:p w14:paraId="5365850E" w14:textId="289B335A" w:rsidR="00C416C7" w:rsidRPr="00C416C7" w:rsidRDefault="008B2E29">
          <w:pPr>
            <w:pStyle w:val="TOC2"/>
            <w:rPr>
              <w:rFonts w:eastAsiaTheme="minorEastAsia"/>
              <w:noProof/>
              <w:lang w:eastAsia="en-NZ"/>
            </w:rPr>
          </w:pPr>
          <w:hyperlink w:anchor="_Toc36839567" w:history="1">
            <w:r w:rsidR="00C416C7" w:rsidRPr="00C416C7">
              <w:rPr>
                <w:rStyle w:val="Hyperlink"/>
                <w:rFonts w:cstheme="minorHAnsi"/>
                <w:noProof/>
              </w:rPr>
              <w:t>5.5</w:t>
            </w:r>
            <w:r w:rsidR="00C416C7" w:rsidRPr="00C416C7">
              <w:rPr>
                <w:rFonts w:eastAsiaTheme="minorEastAsia"/>
                <w:noProof/>
                <w:lang w:eastAsia="en-NZ"/>
              </w:rPr>
              <w:tab/>
            </w:r>
            <w:r w:rsidR="00C416C7" w:rsidRPr="00C416C7">
              <w:rPr>
                <w:rStyle w:val="Hyperlink"/>
                <w:rFonts w:cstheme="minorHAnsi"/>
                <w:noProof/>
              </w:rPr>
              <w:t>Gender Considerations</w:t>
            </w:r>
            <w:r w:rsidR="00C416C7" w:rsidRPr="00C416C7">
              <w:rPr>
                <w:noProof/>
                <w:webHidden/>
              </w:rPr>
              <w:tab/>
            </w:r>
            <w:r w:rsidR="00C416C7" w:rsidRPr="00C416C7">
              <w:rPr>
                <w:noProof/>
                <w:webHidden/>
              </w:rPr>
              <w:fldChar w:fldCharType="begin"/>
            </w:r>
            <w:r w:rsidR="00C416C7" w:rsidRPr="00C416C7">
              <w:rPr>
                <w:noProof/>
                <w:webHidden/>
              </w:rPr>
              <w:instrText xml:space="preserve"> PAGEREF _Toc36839567 \h </w:instrText>
            </w:r>
            <w:r w:rsidR="00C416C7" w:rsidRPr="00C416C7">
              <w:rPr>
                <w:noProof/>
                <w:webHidden/>
              </w:rPr>
            </w:r>
            <w:r w:rsidR="00C416C7" w:rsidRPr="00C416C7">
              <w:rPr>
                <w:noProof/>
                <w:webHidden/>
              </w:rPr>
              <w:fldChar w:fldCharType="separate"/>
            </w:r>
            <w:r w:rsidR="00FA456C">
              <w:rPr>
                <w:noProof/>
                <w:webHidden/>
              </w:rPr>
              <w:t>17</w:t>
            </w:r>
            <w:r w:rsidR="00C416C7" w:rsidRPr="00C416C7">
              <w:rPr>
                <w:noProof/>
                <w:webHidden/>
              </w:rPr>
              <w:fldChar w:fldCharType="end"/>
            </w:r>
          </w:hyperlink>
        </w:p>
        <w:p w14:paraId="78AE46EB" w14:textId="5D7D5F05" w:rsidR="00C416C7" w:rsidRPr="00C416C7" w:rsidRDefault="007E7EB5">
          <w:pPr>
            <w:pStyle w:val="TOC1"/>
            <w:tabs>
              <w:tab w:val="left" w:pos="440"/>
              <w:tab w:val="right" w:leader="dot" w:pos="9016"/>
            </w:tabs>
            <w:rPr>
              <w:rFonts w:eastAsiaTheme="minorEastAsia"/>
              <w:noProof/>
              <w:lang w:eastAsia="en-NZ"/>
            </w:rPr>
          </w:pPr>
          <w:r>
            <w:rPr>
              <w:rStyle w:val="Hyperlink"/>
              <w:rFonts w:ascii="Calibri" w:hAnsi="Calibri" w:cs="Calibri"/>
              <w:noProof/>
            </w:rPr>
            <w:br/>
          </w:r>
          <w:hyperlink w:anchor="_Toc36839568" w:history="1">
            <w:r w:rsidR="00C416C7" w:rsidRPr="00C416C7">
              <w:rPr>
                <w:rStyle w:val="Hyperlink"/>
                <w:rFonts w:ascii="Calibri" w:hAnsi="Calibri" w:cs="Calibri"/>
                <w:noProof/>
              </w:rPr>
              <w:t>6</w:t>
            </w:r>
            <w:r w:rsidR="00C416C7" w:rsidRPr="00C416C7">
              <w:rPr>
                <w:rFonts w:eastAsiaTheme="minorEastAsia"/>
                <w:noProof/>
                <w:lang w:eastAsia="en-NZ"/>
              </w:rPr>
              <w:tab/>
            </w:r>
            <w:r w:rsidR="00C416C7" w:rsidRPr="00C416C7">
              <w:rPr>
                <w:rStyle w:val="Hyperlink"/>
                <w:rFonts w:ascii="Calibri" w:hAnsi="Calibri" w:cs="Calibri"/>
                <w:noProof/>
              </w:rPr>
              <w:t>Conclusions</w:t>
            </w:r>
            <w:r w:rsidR="00C416C7" w:rsidRPr="00C416C7">
              <w:rPr>
                <w:noProof/>
                <w:webHidden/>
              </w:rPr>
              <w:tab/>
            </w:r>
            <w:r w:rsidR="00C416C7" w:rsidRPr="00C416C7">
              <w:rPr>
                <w:noProof/>
                <w:webHidden/>
              </w:rPr>
              <w:fldChar w:fldCharType="begin"/>
            </w:r>
            <w:r w:rsidR="00C416C7" w:rsidRPr="00C416C7">
              <w:rPr>
                <w:noProof/>
                <w:webHidden/>
              </w:rPr>
              <w:instrText xml:space="preserve"> PAGEREF _Toc36839568 \h </w:instrText>
            </w:r>
            <w:r w:rsidR="00C416C7" w:rsidRPr="00C416C7">
              <w:rPr>
                <w:noProof/>
                <w:webHidden/>
              </w:rPr>
            </w:r>
            <w:r w:rsidR="00C416C7" w:rsidRPr="00C416C7">
              <w:rPr>
                <w:noProof/>
                <w:webHidden/>
              </w:rPr>
              <w:fldChar w:fldCharType="separate"/>
            </w:r>
            <w:r w:rsidR="00FA456C">
              <w:rPr>
                <w:noProof/>
                <w:webHidden/>
              </w:rPr>
              <w:t>17</w:t>
            </w:r>
            <w:r w:rsidR="00C416C7" w:rsidRPr="00C416C7">
              <w:rPr>
                <w:noProof/>
                <w:webHidden/>
              </w:rPr>
              <w:fldChar w:fldCharType="end"/>
            </w:r>
          </w:hyperlink>
        </w:p>
        <w:p w14:paraId="50E3A799" w14:textId="4F8F5A77" w:rsidR="00C416C7" w:rsidRPr="00C416C7" w:rsidRDefault="008B2E29">
          <w:pPr>
            <w:pStyle w:val="TOC1"/>
            <w:tabs>
              <w:tab w:val="right" w:leader="dot" w:pos="9016"/>
            </w:tabs>
            <w:rPr>
              <w:rFonts w:eastAsiaTheme="minorEastAsia"/>
              <w:noProof/>
              <w:lang w:eastAsia="en-NZ"/>
            </w:rPr>
          </w:pPr>
          <w:hyperlink w:anchor="_Toc36839569" w:history="1">
            <w:r w:rsidR="00C416C7" w:rsidRPr="00C416C7">
              <w:rPr>
                <w:rStyle w:val="Hyperlink"/>
                <w:rFonts w:ascii="Calibri" w:hAnsi="Calibri" w:cs="Calibri"/>
                <w:noProof/>
              </w:rPr>
              <w:t>Appendix A: Recommended Policy Acti</w:t>
            </w:r>
            <w:r w:rsidR="000F5AC8">
              <w:rPr>
                <w:rStyle w:val="Hyperlink"/>
                <w:rFonts w:ascii="Calibri" w:hAnsi="Calibri" w:cs="Calibri"/>
                <w:noProof/>
              </w:rPr>
              <w:t>ons</w:t>
            </w:r>
            <w:r w:rsidR="00C416C7" w:rsidRPr="00C416C7">
              <w:rPr>
                <w:rStyle w:val="Hyperlink"/>
                <w:rFonts w:ascii="Calibri" w:hAnsi="Calibri" w:cs="Calibri"/>
                <w:noProof/>
              </w:rPr>
              <w:t xml:space="preserve"> of the Regional Policy for E-Mobility in PICTs</w:t>
            </w:r>
            <w:r w:rsidR="00C416C7" w:rsidRPr="00C416C7">
              <w:rPr>
                <w:noProof/>
                <w:webHidden/>
              </w:rPr>
              <w:tab/>
            </w:r>
            <w:r w:rsidR="00C416C7" w:rsidRPr="00C416C7">
              <w:rPr>
                <w:noProof/>
                <w:webHidden/>
              </w:rPr>
              <w:fldChar w:fldCharType="begin"/>
            </w:r>
            <w:r w:rsidR="00C416C7" w:rsidRPr="00C416C7">
              <w:rPr>
                <w:noProof/>
                <w:webHidden/>
              </w:rPr>
              <w:instrText xml:space="preserve"> PAGEREF _Toc36839569 \h </w:instrText>
            </w:r>
            <w:r w:rsidR="00C416C7" w:rsidRPr="00C416C7">
              <w:rPr>
                <w:noProof/>
                <w:webHidden/>
              </w:rPr>
            </w:r>
            <w:r w:rsidR="00C416C7" w:rsidRPr="00C416C7">
              <w:rPr>
                <w:noProof/>
                <w:webHidden/>
              </w:rPr>
              <w:fldChar w:fldCharType="separate"/>
            </w:r>
            <w:r w:rsidR="00FA456C">
              <w:rPr>
                <w:noProof/>
                <w:webHidden/>
              </w:rPr>
              <w:t>18</w:t>
            </w:r>
            <w:r w:rsidR="00C416C7" w:rsidRPr="00C416C7">
              <w:rPr>
                <w:noProof/>
                <w:webHidden/>
              </w:rPr>
              <w:fldChar w:fldCharType="end"/>
            </w:r>
          </w:hyperlink>
        </w:p>
        <w:p w14:paraId="48A166BB" w14:textId="75B8E683" w:rsidR="00C416C7" w:rsidRPr="00C416C7" w:rsidRDefault="008B2E29">
          <w:pPr>
            <w:pStyle w:val="TOC1"/>
            <w:tabs>
              <w:tab w:val="right" w:leader="dot" w:pos="9016"/>
            </w:tabs>
            <w:rPr>
              <w:rFonts w:eastAsiaTheme="minorEastAsia"/>
              <w:noProof/>
              <w:lang w:eastAsia="en-NZ"/>
            </w:rPr>
          </w:pPr>
          <w:hyperlink w:anchor="_Toc36839570" w:history="1">
            <w:r w:rsidR="00C416C7" w:rsidRPr="00C416C7">
              <w:rPr>
                <w:rStyle w:val="Hyperlink"/>
                <w:rFonts w:ascii="Calibri" w:hAnsi="Calibri" w:cs="Calibri"/>
                <w:noProof/>
              </w:rPr>
              <w:t>Appendix B: Detailed Results Framework for Proposed Regional EV Program</w:t>
            </w:r>
            <w:r w:rsidR="00C416C7" w:rsidRPr="00C416C7">
              <w:rPr>
                <w:noProof/>
                <w:webHidden/>
              </w:rPr>
              <w:tab/>
            </w:r>
            <w:r w:rsidR="00C416C7" w:rsidRPr="00C416C7">
              <w:rPr>
                <w:noProof/>
                <w:webHidden/>
              </w:rPr>
              <w:fldChar w:fldCharType="begin"/>
            </w:r>
            <w:r w:rsidR="00C416C7" w:rsidRPr="00C416C7">
              <w:rPr>
                <w:noProof/>
                <w:webHidden/>
              </w:rPr>
              <w:instrText xml:space="preserve"> PAGEREF _Toc36839570 \h </w:instrText>
            </w:r>
            <w:r w:rsidR="00C416C7" w:rsidRPr="00C416C7">
              <w:rPr>
                <w:noProof/>
                <w:webHidden/>
              </w:rPr>
            </w:r>
            <w:r w:rsidR="00C416C7" w:rsidRPr="00C416C7">
              <w:rPr>
                <w:noProof/>
                <w:webHidden/>
              </w:rPr>
              <w:fldChar w:fldCharType="separate"/>
            </w:r>
            <w:r w:rsidR="00FA456C">
              <w:rPr>
                <w:noProof/>
                <w:webHidden/>
              </w:rPr>
              <w:t>21</w:t>
            </w:r>
            <w:r w:rsidR="00C416C7" w:rsidRPr="00C416C7">
              <w:rPr>
                <w:noProof/>
                <w:webHidden/>
              </w:rPr>
              <w:fldChar w:fldCharType="end"/>
            </w:r>
          </w:hyperlink>
        </w:p>
        <w:p w14:paraId="72EEFF14" w14:textId="546858A3" w:rsidR="00C416C7" w:rsidRPr="00C416C7" w:rsidRDefault="008B2E29">
          <w:pPr>
            <w:pStyle w:val="TOC1"/>
            <w:tabs>
              <w:tab w:val="right" w:leader="dot" w:pos="9016"/>
            </w:tabs>
            <w:rPr>
              <w:rFonts w:eastAsiaTheme="minorEastAsia"/>
              <w:noProof/>
              <w:lang w:eastAsia="en-NZ"/>
            </w:rPr>
          </w:pPr>
          <w:hyperlink w:anchor="_Toc36839571" w:history="1">
            <w:r w:rsidR="00C416C7" w:rsidRPr="00C416C7">
              <w:rPr>
                <w:rStyle w:val="Hyperlink"/>
                <w:rFonts w:ascii="Calibri" w:hAnsi="Calibri" w:cs="Calibri"/>
                <w:noProof/>
              </w:rPr>
              <w:t>Appendix C: Mid-Level Detailed Results Framework for Proposed Regional EV Program</w:t>
            </w:r>
            <w:r w:rsidR="00C416C7" w:rsidRPr="00C416C7">
              <w:rPr>
                <w:noProof/>
                <w:webHidden/>
              </w:rPr>
              <w:tab/>
            </w:r>
            <w:r w:rsidR="00C416C7" w:rsidRPr="00C416C7">
              <w:rPr>
                <w:noProof/>
                <w:webHidden/>
              </w:rPr>
              <w:fldChar w:fldCharType="begin"/>
            </w:r>
            <w:r w:rsidR="00C416C7" w:rsidRPr="00C416C7">
              <w:rPr>
                <w:noProof/>
                <w:webHidden/>
              </w:rPr>
              <w:instrText xml:space="preserve"> PAGEREF _Toc36839571 \h </w:instrText>
            </w:r>
            <w:r w:rsidR="00C416C7" w:rsidRPr="00C416C7">
              <w:rPr>
                <w:noProof/>
                <w:webHidden/>
              </w:rPr>
            </w:r>
            <w:r w:rsidR="00C416C7" w:rsidRPr="00C416C7">
              <w:rPr>
                <w:noProof/>
                <w:webHidden/>
              </w:rPr>
              <w:fldChar w:fldCharType="separate"/>
            </w:r>
            <w:r w:rsidR="00FA456C">
              <w:rPr>
                <w:noProof/>
                <w:webHidden/>
              </w:rPr>
              <w:t>24</w:t>
            </w:r>
            <w:r w:rsidR="00C416C7" w:rsidRPr="00C416C7">
              <w:rPr>
                <w:noProof/>
                <w:webHidden/>
              </w:rPr>
              <w:fldChar w:fldCharType="end"/>
            </w:r>
          </w:hyperlink>
        </w:p>
        <w:p w14:paraId="7DEFC6D9" w14:textId="2D7A38FA" w:rsidR="00916E04" w:rsidRPr="00B02A4A" w:rsidRDefault="001A54A5" w:rsidP="00F614B5">
          <w:pPr>
            <w:pStyle w:val="TOC1"/>
            <w:tabs>
              <w:tab w:val="right" w:leader="dot" w:pos="9016"/>
            </w:tabs>
            <w:spacing w:after="0" w:line="216" w:lineRule="auto"/>
            <w:rPr>
              <w:rFonts w:eastAsiaTheme="minorEastAsia"/>
              <w:noProof/>
              <w:lang w:eastAsia="en-NZ"/>
            </w:rPr>
          </w:pPr>
          <w:r w:rsidRPr="00C416C7">
            <w:rPr>
              <w:noProof/>
              <w:sz w:val="18"/>
            </w:rPr>
            <w:fldChar w:fldCharType="end"/>
          </w:r>
        </w:p>
      </w:sdtContent>
    </w:sdt>
    <w:p w14:paraId="7F243E6F" w14:textId="77777777" w:rsidR="00CE601B" w:rsidRDefault="00CE601B" w:rsidP="0008385C">
      <w:pPr>
        <w:spacing w:after="0"/>
        <w:jc w:val="center"/>
        <w:rPr>
          <w:b/>
          <w:bCs/>
        </w:rPr>
      </w:pPr>
    </w:p>
    <w:p w14:paraId="2C7C1426" w14:textId="77777777" w:rsidR="00CE601B" w:rsidRDefault="00CE601B" w:rsidP="0008385C">
      <w:pPr>
        <w:spacing w:after="0"/>
        <w:jc w:val="center"/>
        <w:rPr>
          <w:b/>
          <w:bCs/>
        </w:rPr>
      </w:pPr>
    </w:p>
    <w:p w14:paraId="2F1DB7F8" w14:textId="77777777" w:rsidR="006478C7" w:rsidRDefault="006478C7">
      <w:pPr>
        <w:jc w:val="left"/>
        <w:rPr>
          <w:b/>
          <w:bCs/>
        </w:rPr>
      </w:pPr>
      <w:r>
        <w:rPr>
          <w:b/>
          <w:bCs/>
        </w:rPr>
        <w:br w:type="page"/>
      </w:r>
    </w:p>
    <w:p w14:paraId="2227677B" w14:textId="77777777" w:rsidR="0008385C" w:rsidRPr="008F74C2" w:rsidRDefault="0008385C" w:rsidP="0008385C">
      <w:pPr>
        <w:spacing w:after="0"/>
        <w:jc w:val="center"/>
        <w:rPr>
          <w:b/>
          <w:bCs/>
        </w:rPr>
      </w:pPr>
      <w:r w:rsidRPr="008F74C2">
        <w:rPr>
          <w:b/>
          <w:bCs/>
        </w:rPr>
        <w:lastRenderedPageBreak/>
        <w:t>Abbreviations and Acrony</w:t>
      </w:r>
      <w:r>
        <w:rPr>
          <w:b/>
          <w:bCs/>
        </w:rPr>
        <w:t>m</w:t>
      </w:r>
      <w:r w:rsidRPr="008F74C2">
        <w:rPr>
          <w:b/>
          <w:bCs/>
        </w:rPr>
        <w:t>s</w:t>
      </w:r>
    </w:p>
    <w:p w14:paraId="5CB9B0F9" w14:textId="77777777" w:rsidR="0008385C" w:rsidRPr="008F74C2" w:rsidRDefault="0008385C" w:rsidP="0008385C">
      <w:pPr>
        <w:spacing w:after="0"/>
      </w:pPr>
      <w:proofErr w:type="spellStart"/>
      <w:r w:rsidRPr="008F74C2">
        <w:t>A</w:t>
      </w:r>
      <w:r w:rsidRPr="008F74C2">
        <w:rPr>
          <w:i/>
          <w:iCs/>
        </w:rPr>
        <w:t>x</w:t>
      </w:r>
      <w:proofErr w:type="spellEnd"/>
      <w:r w:rsidRPr="008F74C2">
        <w:tab/>
        <w:t xml:space="preserve">Policy Activity </w:t>
      </w:r>
      <w:r w:rsidRPr="008F74C2">
        <w:rPr>
          <w:i/>
          <w:iCs/>
        </w:rPr>
        <w:t>x</w:t>
      </w:r>
    </w:p>
    <w:p w14:paraId="5AC731BF" w14:textId="77777777" w:rsidR="0008385C" w:rsidRPr="008F74C2" w:rsidRDefault="0008385C" w:rsidP="0008385C">
      <w:pPr>
        <w:spacing w:after="0"/>
      </w:pPr>
      <w:r w:rsidRPr="008F74C2">
        <w:t>BAU</w:t>
      </w:r>
      <w:r w:rsidRPr="008F74C2">
        <w:tab/>
        <w:t>Business as Usual</w:t>
      </w:r>
    </w:p>
    <w:p w14:paraId="26CC5ECE" w14:textId="77777777" w:rsidR="0008385C" w:rsidRDefault="0008385C" w:rsidP="0008385C">
      <w:pPr>
        <w:spacing w:after="0"/>
      </w:pPr>
      <w:r>
        <w:t>CO</w:t>
      </w:r>
      <w:r w:rsidRPr="002F47F6">
        <w:rPr>
          <w:vertAlign w:val="subscript"/>
        </w:rPr>
        <w:t>2</w:t>
      </w:r>
      <w:r>
        <w:rPr>
          <w:vertAlign w:val="subscript"/>
        </w:rPr>
        <w:tab/>
      </w:r>
      <w:r w:rsidRPr="002F47F6">
        <w:t>Carbon dioxide</w:t>
      </w:r>
    </w:p>
    <w:p w14:paraId="095DC654" w14:textId="77777777" w:rsidR="0008385C" w:rsidRDefault="0008385C" w:rsidP="0008385C">
      <w:pPr>
        <w:spacing w:after="0"/>
      </w:pPr>
      <w:r>
        <w:t>CO</w:t>
      </w:r>
      <w:r w:rsidRPr="0008192D">
        <w:rPr>
          <w:vertAlign w:val="subscript"/>
        </w:rPr>
        <w:t>2</w:t>
      </w:r>
      <w:r>
        <w:rPr>
          <w:vertAlign w:val="subscript"/>
        </w:rPr>
        <w:t>e</w:t>
      </w:r>
      <w:r>
        <w:rPr>
          <w:vertAlign w:val="subscript"/>
        </w:rPr>
        <w:tab/>
      </w:r>
      <w:r w:rsidRPr="0008192D">
        <w:t>Carbon dioxide</w:t>
      </w:r>
      <w:r>
        <w:t xml:space="preserve"> equivalent</w:t>
      </w:r>
    </w:p>
    <w:p w14:paraId="6D8E2E8C" w14:textId="77777777" w:rsidR="0008385C" w:rsidRPr="008F74C2" w:rsidRDefault="0008385C" w:rsidP="0008385C">
      <w:pPr>
        <w:spacing w:after="0"/>
      </w:pPr>
      <w:r w:rsidRPr="008F74C2">
        <w:t>e-</w:t>
      </w:r>
      <w:r w:rsidRPr="008F74C2">
        <w:tab/>
        <w:t>Electric (e.g., e-bus)</w:t>
      </w:r>
    </w:p>
    <w:p w14:paraId="029CAD3F" w14:textId="77777777" w:rsidR="0008385C" w:rsidRPr="008F74C2" w:rsidRDefault="0008385C" w:rsidP="0008385C">
      <w:pPr>
        <w:spacing w:after="0"/>
      </w:pPr>
      <w:r w:rsidRPr="008F74C2">
        <w:t xml:space="preserve">EV </w:t>
      </w:r>
      <w:r w:rsidRPr="008F74C2">
        <w:tab/>
        <w:t>Electric vehicle</w:t>
      </w:r>
    </w:p>
    <w:p w14:paraId="4FAEEB14" w14:textId="77777777" w:rsidR="0008385C" w:rsidRPr="008F74C2" w:rsidRDefault="0008385C" w:rsidP="0008385C">
      <w:pPr>
        <w:spacing w:after="0"/>
      </w:pPr>
      <w:r w:rsidRPr="008F74C2">
        <w:t>FAESP</w:t>
      </w:r>
      <w:r w:rsidRPr="008F74C2">
        <w:tab/>
        <w:t xml:space="preserve">Framework for Action on Energy Security in the Pacific </w:t>
      </w:r>
    </w:p>
    <w:p w14:paraId="047D4A05" w14:textId="77777777" w:rsidR="0008385C" w:rsidRPr="008F74C2" w:rsidRDefault="0008385C" w:rsidP="0008385C">
      <w:pPr>
        <w:spacing w:after="0"/>
      </w:pPr>
      <w:r w:rsidRPr="008F74C2">
        <w:t>FATS</w:t>
      </w:r>
      <w:r w:rsidRPr="008F74C2">
        <w:tab/>
        <w:t>Framework for Action on Transport Services</w:t>
      </w:r>
    </w:p>
    <w:p w14:paraId="558D4D93" w14:textId="77777777" w:rsidR="0008385C" w:rsidRPr="008F74C2" w:rsidRDefault="0008385C" w:rsidP="0008385C">
      <w:pPr>
        <w:spacing w:after="0"/>
      </w:pPr>
      <w:r w:rsidRPr="008F74C2">
        <w:t>FRDP</w:t>
      </w:r>
      <w:r w:rsidRPr="008F74C2">
        <w:tab/>
        <w:t>Framework for Resilient Development in the Pacific</w:t>
      </w:r>
    </w:p>
    <w:p w14:paraId="28E5DD3D" w14:textId="77777777" w:rsidR="00370BE5" w:rsidRDefault="00370BE5" w:rsidP="0008385C">
      <w:pPr>
        <w:spacing w:after="0"/>
      </w:pPr>
      <w:r>
        <w:t>FTE</w:t>
      </w:r>
      <w:r>
        <w:tab/>
        <w:t>Full-Time-Equivalent</w:t>
      </w:r>
    </w:p>
    <w:p w14:paraId="15654906" w14:textId="77777777" w:rsidR="0008385C" w:rsidRPr="008F74C2" w:rsidRDefault="0008385C" w:rsidP="0008385C">
      <w:pPr>
        <w:spacing w:after="0"/>
      </w:pPr>
      <w:r w:rsidRPr="008F74C2">
        <w:t xml:space="preserve">GGGI </w:t>
      </w:r>
      <w:r w:rsidRPr="008F74C2">
        <w:tab/>
        <w:t xml:space="preserve">Global Green Growth Institute </w:t>
      </w:r>
    </w:p>
    <w:p w14:paraId="69AF392E" w14:textId="77777777" w:rsidR="0008385C" w:rsidRPr="008F74C2" w:rsidRDefault="0008385C" w:rsidP="0008385C">
      <w:pPr>
        <w:spacing w:after="0"/>
      </w:pPr>
      <w:r w:rsidRPr="008F74C2">
        <w:t xml:space="preserve">GHG </w:t>
      </w:r>
      <w:r w:rsidRPr="008F74C2">
        <w:tab/>
        <w:t xml:space="preserve">Greenhouse gas or greenhouse gases </w:t>
      </w:r>
    </w:p>
    <w:p w14:paraId="023176ED" w14:textId="77777777" w:rsidR="0008385C" w:rsidRDefault="0008385C" w:rsidP="0008385C">
      <w:pPr>
        <w:spacing w:after="0"/>
      </w:pPr>
      <w:r>
        <w:rPr>
          <w:rFonts w:ascii="Calibri" w:hAnsi="Calibri" w:cs="Calibri"/>
        </w:rPr>
        <w:t>GN-SEC</w:t>
      </w:r>
      <w:r>
        <w:rPr>
          <w:rFonts w:ascii="Calibri" w:hAnsi="Calibri" w:cs="Calibri"/>
        </w:rPr>
        <w:tab/>
        <w:t xml:space="preserve">Global Network of Regional Sustainable Energy </w:t>
      </w:r>
      <w:r w:rsidR="002A68FE">
        <w:rPr>
          <w:rFonts w:ascii="Calibri" w:hAnsi="Calibri" w:cs="Calibri"/>
        </w:rPr>
        <w:t>Centres</w:t>
      </w:r>
    </w:p>
    <w:p w14:paraId="3EAC1413" w14:textId="77777777" w:rsidR="0008385C" w:rsidRPr="008F74C2" w:rsidRDefault="0008385C" w:rsidP="0008385C">
      <w:pPr>
        <w:spacing w:after="0"/>
      </w:pPr>
      <w:r w:rsidRPr="008F74C2">
        <w:t xml:space="preserve">kW </w:t>
      </w:r>
      <w:r w:rsidRPr="008F74C2">
        <w:tab/>
        <w:t>Kilowatt</w:t>
      </w:r>
    </w:p>
    <w:p w14:paraId="6A8AFCA9" w14:textId="77777777" w:rsidR="0008385C" w:rsidRPr="008F74C2" w:rsidRDefault="0008385C" w:rsidP="0008385C">
      <w:pPr>
        <w:spacing w:after="0"/>
      </w:pPr>
      <w:r w:rsidRPr="008F74C2">
        <w:t xml:space="preserve">kWh </w:t>
      </w:r>
      <w:r w:rsidRPr="008F74C2">
        <w:tab/>
        <w:t xml:space="preserve">Kilowatt-hour </w:t>
      </w:r>
    </w:p>
    <w:p w14:paraId="710BD57B" w14:textId="77777777" w:rsidR="0008385C" w:rsidRPr="008F74C2" w:rsidRDefault="0008385C" w:rsidP="0008385C">
      <w:pPr>
        <w:spacing w:after="0"/>
      </w:pPr>
      <w:r w:rsidRPr="008F74C2">
        <w:t xml:space="preserve">NDC </w:t>
      </w:r>
      <w:r w:rsidRPr="008F74C2">
        <w:tab/>
        <w:t xml:space="preserve">Nationally Determined Contribution </w:t>
      </w:r>
    </w:p>
    <w:p w14:paraId="6E09B3B6" w14:textId="77777777" w:rsidR="0008385C" w:rsidRPr="008F74C2" w:rsidRDefault="0008385C" w:rsidP="0008385C">
      <w:pPr>
        <w:spacing w:after="0"/>
      </w:pPr>
      <w:r w:rsidRPr="008F74C2">
        <w:t>PCREEE</w:t>
      </w:r>
      <w:r w:rsidRPr="008F74C2">
        <w:tab/>
        <w:t xml:space="preserve">Pacific </w:t>
      </w:r>
      <w:r w:rsidR="002A68FE">
        <w:t>Centre</w:t>
      </w:r>
      <w:r w:rsidRPr="008F74C2">
        <w:t xml:space="preserve"> for Renewable Energy and Energy Efficiency</w:t>
      </w:r>
    </w:p>
    <w:p w14:paraId="3473A3A2" w14:textId="00F59C8B" w:rsidR="00B552A6" w:rsidRDefault="00B552A6" w:rsidP="0008385C">
      <w:pPr>
        <w:spacing w:after="0"/>
        <w:rPr>
          <w:rFonts w:ascii="Calibri" w:hAnsi="Calibri" w:cs="Calibri"/>
        </w:rPr>
      </w:pPr>
      <w:r>
        <w:rPr>
          <w:rFonts w:ascii="Calibri" w:hAnsi="Calibri" w:cs="Calibri"/>
        </w:rPr>
        <w:t>PEAG</w:t>
      </w:r>
      <w:r>
        <w:rPr>
          <w:rFonts w:ascii="Calibri" w:hAnsi="Calibri" w:cs="Calibri"/>
        </w:rPr>
        <w:tab/>
        <w:t xml:space="preserve">Pacific Energy Advisory Group </w:t>
      </w:r>
    </w:p>
    <w:p w14:paraId="054039D8" w14:textId="7A29E643" w:rsidR="0008385C" w:rsidRPr="008F74C2" w:rsidRDefault="0008385C" w:rsidP="0008385C">
      <w:pPr>
        <w:spacing w:after="0"/>
      </w:pPr>
      <w:r w:rsidRPr="008F74C2">
        <w:t xml:space="preserve">PICT </w:t>
      </w:r>
      <w:r w:rsidRPr="008F74C2">
        <w:tab/>
        <w:t>Pacific Island Countries and Territories</w:t>
      </w:r>
    </w:p>
    <w:p w14:paraId="0BF7B62A" w14:textId="77777777" w:rsidR="0008385C" w:rsidRPr="008F74C2" w:rsidRDefault="0008385C" w:rsidP="0008385C">
      <w:pPr>
        <w:spacing w:after="0"/>
      </w:pPr>
      <w:r w:rsidRPr="008F74C2">
        <w:t xml:space="preserve">PV </w:t>
      </w:r>
      <w:r w:rsidRPr="008F74C2">
        <w:tab/>
        <w:t xml:space="preserve">Photovoltaic </w:t>
      </w:r>
    </w:p>
    <w:p w14:paraId="3914208E" w14:textId="77777777" w:rsidR="0008385C" w:rsidRPr="008F74C2" w:rsidRDefault="0008385C" w:rsidP="0008385C">
      <w:pPr>
        <w:spacing w:after="0"/>
      </w:pPr>
      <w:r w:rsidRPr="008F74C2">
        <w:t xml:space="preserve">RE </w:t>
      </w:r>
      <w:r w:rsidRPr="008F74C2">
        <w:tab/>
        <w:t xml:space="preserve">Renewable Energy </w:t>
      </w:r>
    </w:p>
    <w:p w14:paraId="5431C35F" w14:textId="77777777" w:rsidR="0008385C" w:rsidRPr="008F74C2" w:rsidRDefault="0008385C" w:rsidP="0008385C">
      <w:pPr>
        <w:spacing w:after="0"/>
      </w:pPr>
      <w:r w:rsidRPr="008F74C2">
        <w:t>RMI</w:t>
      </w:r>
      <w:r w:rsidRPr="008F74C2">
        <w:tab/>
        <w:t>Republic of the Marshal Islands</w:t>
      </w:r>
    </w:p>
    <w:p w14:paraId="142100E9" w14:textId="77777777" w:rsidR="0008385C" w:rsidRDefault="0008385C" w:rsidP="0008385C">
      <w:pPr>
        <w:spacing w:after="0"/>
      </w:pPr>
      <w:r>
        <w:t>SIDS</w:t>
      </w:r>
      <w:r>
        <w:tab/>
        <w:t>Small Island Developing States</w:t>
      </w:r>
    </w:p>
    <w:p w14:paraId="512CA59D" w14:textId="58DE3308" w:rsidR="0008385C" w:rsidRPr="008F74C2" w:rsidRDefault="0008385C" w:rsidP="0008385C">
      <w:pPr>
        <w:spacing w:after="0"/>
      </w:pPr>
      <w:r w:rsidRPr="008F74C2">
        <w:t xml:space="preserve">SPC </w:t>
      </w:r>
      <w:r w:rsidRPr="008F74C2">
        <w:tab/>
        <w:t xml:space="preserve">Pacific Community </w:t>
      </w:r>
    </w:p>
    <w:p w14:paraId="38DA5000" w14:textId="77777777" w:rsidR="0008385C" w:rsidRDefault="0008385C" w:rsidP="0008385C">
      <w:pPr>
        <w:spacing w:after="0"/>
      </w:pPr>
      <w:r>
        <w:t>TA</w:t>
      </w:r>
      <w:r>
        <w:tab/>
        <w:t>Technical Assistance projects</w:t>
      </w:r>
    </w:p>
    <w:p w14:paraId="2A3BF348" w14:textId="77777777" w:rsidR="0008385C" w:rsidRPr="008F74C2" w:rsidRDefault="0008385C" w:rsidP="0008385C">
      <w:pPr>
        <w:spacing w:after="0"/>
      </w:pPr>
      <w:r w:rsidRPr="008F74C2">
        <w:t xml:space="preserve">TOR </w:t>
      </w:r>
      <w:r w:rsidRPr="008F74C2">
        <w:tab/>
        <w:t xml:space="preserve">Terms of Reference </w:t>
      </w:r>
    </w:p>
    <w:p w14:paraId="58F0DE7B" w14:textId="77777777" w:rsidR="0008385C" w:rsidRPr="008F74C2" w:rsidRDefault="0008385C" w:rsidP="0008385C">
      <w:pPr>
        <w:spacing w:after="0"/>
      </w:pPr>
      <w:r w:rsidRPr="008F74C2">
        <w:t>TOU</w:t>
      </w:r>
      <w:r w:rsidRPr="008F74C2">
        <w:tab/>
        <w:t>Time of use (metering)</w:t>
      </w:r>
    </w:p>
    <w:p w14:paraId="2B93FFE8" w14:textId="77777777" w:rsidR="0008385C" w:rsidRPr="008F74C2" w:rsidRDefault="0008385C" w:rsidP="0008385C">
      <w:pPr>
        <w:spacing w:after="0"/>
      </w:pPr>
      <w:r w:rsidRPr="008F74C2">
        <w:t xml:space="preserve">UNIDO </w:t>
      </w:r>
      <w:r w:rsidRPr="008F74C2">
        <w:tab/>
        <w:t>United Nation Industrial Development Organization</w:t>
      </w:r>
    </w:p>
    <w:p w14:paraId="67CD3E59" w14:textId="77777777" w:rsidR="0008385C" w:rsidRPr="008F74C2" w:rsidRDefault="0008385C" w:rsidP="0008385C">
      <w:pPr>
        <w:spacing w:after="0"/>
      </w:pPr>
      <w:r w:rsidRPr="008F74C2">
        <w:t xml:space="preserve">UNDP </w:t>
      </w:r>
      <w:r w:rsidRPr="008F74C2">
        <w:tab/>
        <w:t xml:space="preserve">United Nations Development Programme </w:t>
      </w:r>
    </w:p>
    <w:p w14:paraId="47DDB8B8" w14:textId="77777777" w:rsidR="0008385C" w:rsidRPr="008F74C2" w:rsidRDefault="0008385C" w:rsidP="0008385C">
      <w:pPr>
        <w:spacing w:after="0"/>
      </w:pPr>
      <w:r w:rsidRPr="008F74C2">
        <w:t>V2H</w:t>
      </w:r>
      <w:r w:rsidRPr="008F74C2">
        <w:tab/>
        <w:t>Vehicle-to-home</w:t>
      </w:r>
    </w:p>
    <w:p w14:paraId="20044343" w14:textId="77777777" w:rsidR="0008385C" w:rsidRDefault="0008385C" w:rsidP="0008385C">
      <w:pPr>
        <w:spacing w:after="0"/>
      </w:pPr>
      <w:r w:rsidRPr="008F74C2">
        <w:t>V2G</w:t>
      </w:r>
      <w:r w:rsidRPr="008F74C2">
        <w:tab/>
        <w:t>Vehicle-to-grid</w:t>
      </w:r>
    </w:p>
    <w:p w14:paraId="5E9521B4" w14:textId="77777777" w:rsidR="0038668D" w:rsidRDefault="0038668D" w:rsidP="0038668D">
      <w:pPr>
        <w:tabs>
          <w:tab w:val="center" w:pos="4513"/>
        </w:tabs>
        <w:jc w:val="center"/>
        <w:rPr>
          <w:rFonts w:cstheme="minorHAnsi"/>
          <w:b/>
          <w:bCs/>
          <w:color w:val="002060"/>
          <w:sz w:val="24"/>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D7E572A" w14:textId="25B9F89C" w:rsidR="007F5EA2" w:rsidRDefault="007F5EA2" w:rsidP="00FF7D24">
      <w:pPr>
        <w:rPr>
          <w:rFonts w:cstheme="minorHAnsi"/>
          <w:b/>
          <w:bCs/>
          <w:color w:val="002060"/>
          <w:sz w:val="24"/>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CE0D384" w14:textId="77777777" w:rsidR="00617539" w:rsidRPr="00FE72DF" w:rsidRDefault="00617539" w:rsidP="00617539">
      <w:pPr>
        <w:jc w:val="center"/>
        <w:rPr>
          <w:rFonts w:asciiTheme="majorHAnsi" w:hAnsiTheme="majorHAnsi" w:cstheme="majorHAnsi"/>
          <w:b/>
          <w:bCs/>
        </w:rPr>
      </w:pPr>
      <w:r w:rsidRPr="00FE72DF">
        <w:rPr>
          <w:rFonts w:asciiTheme="majorHAnsi" w:hAnsiTheme="majorHAnsi" w:cstheme="majorHAnsi"/>
          <w:b/>
          <w:bCs/>
        </w:rPr>
        <w:t>Acknowledgements</w:t>
      </w:r>
    </w:p>
    <w:p w14:paraId="52E2CE8F" w14:textId="5F58AAF9" w:rsidR="006B3A1F" w:rsidRDefault="00617539" w:rsidP="008B2E29">
      <w:pPr>
        <w:rPr>
          <w:rFonts w:asciiTheme="majorHAnsi" w:eastAsiaTheme="majorEastAsia" w:hAnsiTheme="majorHAnsi" w:cstheme="minorHAnsi"/>
          <w:b/>
          <w:bCs/>
          <w:color w:val="002060"/>
          <w:sz w:val="24"/>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456CA">
        <w:rPr>
          <w:rFonts w:ascii="Calibri" w:hAnsi="Calibri" w:cs="Calibri"/>
        </w:rPr>
        <w:t>Sincere thanks to those who provided input</w:t>
      </w:r>
      <w:r>
        <w:rPr>
          <w:rFonts w:ascii="Calibri" w:hAnsi="Calibri" w:cs="Calibri"/>
        </w:rPr>
        <w:t xml:space="preserve"> to this report</w:t>
      </w:r>
      <w:r w:rsidRPr="007456CA">
        <w:rPr>
          <w:rFonts w:ascii="Calibri" w:hAnsi="Calibri" w:cs="Calibri"/>
        </w:rPr>
        <w:t>, including staff at the United Nation Industrial Deve</w:t>
      </w:r>
      <w:r w:rsidRPr="009747FC">
        <w:rPr>
          <w:rFonts w:ascii="Calibri" w:hAnsi="Calibri" w:cs="Calibri"/>
        </w:rPr>
        <w:t xml:space="preserve">lopment Organization (UNIDO) and the Pacific Community (SPC). A special thanks to Peter Johnson (Environmental &amp; Energy Consultants Ltd) for his valuable inputs and review of the </w:t>
      </w:r>
      <w:r w:rsidRPr="0071676F">
        <w:rPr>
          <w:rFonts w:ascii="Calibri" w:hAnsi="Calibri" w:cs="Calibri"/>
        </w:rPr>
        <w:t>reports.</w:t>
      </w:r>
      <w:r w:rsidR="006B3A1F">
        <w:rPr>
          <w:rFonts w:cstheme="minorHAnsi"/>
          <w:b/>
          <w:bCs/>
          <w:color w:val="002060"/>
          <w:sz w:val="24"/>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ype="page"/>
      </w:r>
    </w:p>
    <w:p w14:paraId="39B970D7" w14:textId="77777777" w:rsidR="0071406F" w:rsidRPr="000C13D7" w:rsidRDefault="00D55981" w:rsidP="00F429D6">
      <w:pPr>
        <w:pStyle w:val="Heading1"/>
        <w:rPr>
          <w:rFonts w:asciiTheme="minorHAnsi" w:hAnsiTheme="minorHAnsi" w:cstheme="minorHAnsi"/>
          <w:b/>
          <w:color w:val="1F3864" w:themeColor="accent1" w:themeShade="80"/>
          <w:sz w:val="24"/>
        </w:rPr>
      </w:pPr>
      <w:bookmarkStart w:id="1" w:name="_Toc36839558"/>
      <w:r w:rsidRPr="000C13D7">
        <w:rPr>
          <w:rFonts w:asciiTheme="minorHAnsi" w:hAnsiTheme="minorHAnsi" w:cstheme="minorHAnsi"/>
          <w:b/>
          <w:color w:val="1F3864" w:themeColor="accent1" w:themeShade="80"/>
          <w:sz w:val="24"/>
        </w:rPr>
        <w:lastRenderedPageBreak/>
        <w:t>Introduction</w:t>
      </w:r>
      <w:bookmarkEnd w:id="1"/>
    </w:p>
    <w:p w14:paraId="7553B31A" w14:textId="517814FC" w:rsidR="00B4787C" w:rsidRPr="009F5BEB" w:rsidRDefault="00B4787C" w:rsidP="00FF7D24">
      <w:pPr>
        <w:spacing w:before="120" w:after="120" w:line="216" w:lineRule="auto"/>
        <w:rPr>
          <w:rFonts w:ascii="Calibri" w:hAnsi="Calibri" w:cs="Calibri"/>
          <w:lang w:val="en-GB"/>
        </w:rPr>
      </w:pPr>
      <w:r w:rsidRPr="009F5BEB">
        <w:rPr>
          <w:rFonts w:ascii="Calibri" w:hAnsi="Calibri" w:cs="Calibri"/>
          <w:lang w:val="en-GB"/>
        </w:rPr>
        <w:t>As small and remote economies, Pacific Island Countries and Territories (PICTs) share many similar challenges and opportunities. They have limited natural resources. Their economies lack diversification and they suffer disproportionately from large distance</w:t>
      </w:r>
      <w:r w:rsidR="00553EB7">
        <w:rPr>
          <w:rFonts w:ascii="Calibri" w:hAnsi="Calibri" w:cs="Calibri"/>
          <w:lang w:val="en-GB"/>
        </w:rPr>
        <w:t>s</w:t>
      </w:r>
      <w:r w:rsidRPr="009F5BEB">
        <w:rPr>
          <w:rFonts w:ascii="Calibri" w:hAnsi="Calibri" w:cs="Calibri"/>
          <w:lang w:val="en-GB"/>
        </w:rPr>
        <w:t xml:space="preserve"> to major markets. The dependency on imported fossil fuels contributes to their difficult fiscal situation and leads to high energy costs for households and key island industries. Following the diesel track implies less jobs, less opportunities for the youth and less resources to adapt to climate change. </w:t>
      </w:r>
    </w:p>
    <w:p w14:paraId="65CCD497" w14:textId="34AD2ABF" w:rsidR="00B4787C" w:rsidRPr="009F5BEB" w:rsidRDefault="00B4787C" w:rsidP="00FF7D24">
      <w:pPr>
        <w:spacing w:before="120" w:after="120" w:line="216" w:lineRule="auto"/>
        <w:rPr>
          <w:rFonts w:ascii="Calibri" w:hAnsi="Calibri" w:cs="Calibri"/>
          <w:lang w:val="en-GB"/>
        </w:rPr>
      </w:pPr>
      <w:r w:rsidRPr="009F5BEB">
        <w:rPr>
          <w:rFonts w:ascii="Calibri" w:hAnsi="Calibri" w:cs="Calibri"/>
          <w:lang w:val="en-GB"/>
        </w:rPr>
        <w:t>To reap the opportunities of the “green” and “blue” economy, a rapid transformation towards renewable energy and energy efficiency is required</w:t>
      </w:r>
      <w:r w:rsidRPr="009F5BEB">
        <w:rPr>
          <w:rFonts w:ascii="Calibri" w:hAnsi="Calibri" w:cs="Calibri"/>
          <w:lang w:val="en-US"/>
        </w:rPr>
        <w:t xml:space="preserve">. Most PICT have adopted ambitious renewable energy targets and have started to implement renewable energy and energy efficiency policies, regulations, standards and incentive schemes. The sector is increasingly attracting project finance and </w:t>
      </w:r>
      <w:r w:rsidRPr="009F5BEB">
        <w:rPr>
          <w:rFonts w:ascii="Calibri" w:hAnsi="Calibri" w:cs="Calibri"/>
        </w:rPr>
        <w:t xml:space="preserve">foreign </w:t>
      </w:r>
      <w:r w:rsidRPr="009F5BEB">
        <w:rPr>
          <w:rFonts w:ascii="Calibri" w:hAnsi="Calibri" w:cs="Calibri"/>
          <w:lang w:val="en-US"/>
        </w:rPr>
        <w:t>direct</w:t>
      </w:r>
      <w:r w:rsidRPr="009F5BEB">
        <w:rPr>
          <w:rFonts w:ascii="Calibri" w:hAnsi="Calibri" w:cs="Calibri"/>
        </w:rPr>
        <w:t xml:space="preserve"> </w:t>
      </w:r>
      <w:r w:rsidRPr="009F5BEB">
        <w:rPr>
          <w:rFonts w:ascii="Calibri" w:hAnsi="Calibri" w:cs="Calibri"/>
          <w:lang w:val="en-US"/>
        </w:rPr>
        <w:t xml:space="preserve">investment. </w:t>
      </w:r>
      <w:r w:rsidRPr="009F5BEB">
        <w:rPr>
          <w:rFonts w:ascii="Calibri" w:hAnsi="Calibri" w:cs="Calibri"/>
        </w:rPr>
        <w:t xml:space="preserve">However, the </w:t>
      </w:r>
      <w:r w:rsidRPr="009F5BEB">
        <w:rPr>
          <w:rFonts w:ascii="Calibri" w:hAnsi="Calibri" w:cs="Calibri"/>
          <w:lang w:val="en-US"/>
        </w:rPr>
        <w:t xml:space="preserve">nexus area of integrated e-mobility and </w:t>
      </w:r>
      <w:r w:rsidRPr="009F5BEB">
        <w:rPr>
          <w:rFonts w:ascii="Calibri" w:hAnsi="Calibri" w:cs="Calibri"/>
        </w:rPr>
        <w:t>increasingly renewable energy</w:t>
      </w:r>
      <w:r w:rsidR="00503DAF">
        <w:rPr>
          <w:rFonts w:ascii="Calibri" w:hAnsi="Calibri" w:cs="Calibri"/>
        </w:rPr>
        <w:t>-</w:t>
      </w:r>
      <w:r w:rsidRPr="009F5BEB">
        <w:rPr>
          <w:rFonts w:ascii="Calibri" w:hAnsi="Calibri" w:cs="Calibri"/>
        </w:rPr>
        <w:t xml:space="preserve">based island </w:t>
      </w:r>
      <w:r w:rsidRPr="009F5BEB">
        <w:rPr>
          <w:rFonts w:ascii="Calibri" w:hAnsi="Calibri" w:cs="Calibri"/>
          <w:lang w:val="en-US"/>
        </w:rPr>
        <w:t>power system</w:t>
      </w:r>
      <w:r w:rsidRPr="009F5BEB">
        <w:rPr>
          <w:rFonts w:ascii="Calibri" w:hAnsi="Calibri" w:cs="Calibri"/>
        </w:rPr>
        <w:t>s</w:t>
      </w:r>
      <w:r w:rsidRPr="009F5BEB">
        <w:rPr>
          <w:rFonts w:ascii="Calibri" w:hAnsi="Calibri" w:cs="Calibri"/>
          <w:lang w:val="en-US"/>
        </w:rPr>
        <w:t xml:space="preserve">, has not </w:t>
      </w:r>
      <w:r w:rsidR="00503DAF">
        <w:rPr>
          <w:rFonts w:ascii="Calibri" w:hAnsi="Calibri" w:cs="Calibri"/>
          <w:lang w:val="en-US"/>
        </w:rPr>
        <w:t>had much</w:t>
      </w:r>
      <w:r w:rsidRPr="009F5BEB">
        <w:rPr>
          <w:rFonts w:ascii="Calibri" w:hAnsi="Calibri" w:cs="Calibri"/>
          <w:lang w:val="en-US"/>
        </w:rPr>
        <w:t xml:space="preserve"> attention. </w:t>
      </w:r>
    </w:p>
    <w:p w14:paraId="482AC912" w14:textId="60B00F8E" w:rsidR="00C5281E" w:rsidRDefault="00B4787C" w:rsidP="009B39BD">
      <w:pPr>
        <w:spacing w:before="120" w:after="0" w:line="216" w:lineRule="auto"/>
        <w:rPr>
          <w:rFonts w:cstheme="minorHAnsi"/>
        </w:rPr>
      </w:pPr>
      <w:r w:rsidRPr="009F5BEB">
        <w:rPr>
          <w:rFonts w:ascii="Calibri" w:hAnsi="Calibri" w:cs="Calibri"/>
          <w:lang w:val="en-GB"/>
        </w:rPr>
        <w:t xml:space="preserve">Therefore, the </w:t>
      </w:r>
      <w:r w:rsidRPr="009F5BEB">
        <w:rPr>
          <w:rFonts w:ascii="Calibri" w:hAnsi="Calibri" w:cs="Calibri"/>
        </w:rPr>
        <w:t>Fourth Pacific Regional Energy and Transport Ministers’ Meeting, held from 18 to 20 September 2019, in Apia, Samoa, requested the Pacific Centre for Renewable Energy and Energy Efficiency (PCREEE)</w:t>
      </w:r>
      <w:r w:rsidRPr="009F5BEB">
        <w:rPr>
          <w:rStyle w:val="FootnoteReference"/>
          <w:rFonts w:ascii="Calibri" w:hAnsi="Calibri" w:cs="Calibri"/>
        </w:rPr>
        <w:footnoteReference w:id="1"/>
      </w:r>
      <w:r w:rsidRPr="009F5BEB">
        <w:rPr>
          <w:rFonts w:ascii="Calibri" w:hAnsi="Calibri" w:cs="Calibri"/>
        </w:rPr>
        <w:t xml:space="preserve"> and the United Nations Industrial Development Organization (UNIDO) to assist Pacific Island Countries and Territories (PICT) </w:t>
      </w:r>
      <w:r w:rsidR="009B39BD" w:rsidRPr="00696353">
        <w:rPr>
          <w:rFonts w:cstheme="minorHAnsi"/>
        </w:rPr>
        <w:t xml:space="preserve">in the development of </w:t>
      </w:r>
      <w:r w:rsidR="009B39BD">
        <w:rPr>
          <w:rFonts w:cstheme="minorHAnsi"/>
        </w:rPr>
        <w:t xml:space="preserve">a </w:t>
      </w:r>
      <w:r w:rsidR="009B39BD" w:rsidRPr="00696353">
        <w:rPr>
          <w:rFonts w:cstheme="minorHAnsi"/>
        </w:rPr>
        <w:t xml:space="preserve">regional electric mobility (e-mobility) policy </w:t>
      </w:r>
      <w:r w:rsidR="009B39BD">
        <w:rPr>
          <w:rFonts w:cstheme="minorHAnsi"/>
        </w:rPr>
        <w:t xml:space="preserve">document </w:t>
      </w:r>
      <w:r w:rsidR="009B39BD" w:rsidRPr="00696353">
        <w:rPr>
          <w:rFonts w:cstheme="minorHAnsi"/>
        </w:rPr>
        <w:t xml:space="preserve">and </w:t>
      </w:r>
      <w:r w:rsidR="009B39BD">
        <w:rPr>
          <w:rFonts w:cstheme="minorHAnsi"/>
        </w:rPr>
        <w:t xml:space="preserve">a regional e-mobility </w:t>
      </w:r>
      <w:r w:rsidR="009B39BD" w:rsidRPr="00696353">
        <w:rPr>
          <w:rFonts w:cstheme="minorHAnsi"/>
        </w:rPr>
        <w:t>program</w:t>
      </w:r>
      <w:r w:rsidR="009B39BD">
        <w:rPr>
          <w:rStyle w:val="FootnoteReference"/>
          <w:rFonts w:cstheme="minorHAnsi"/>
        </w:rPr>
        <w:footnoteReference w:id="2"/>
      </w:r>
      <w:r w:rsidR="009B39BD" w:rsidRPr="00696353">
        <w:rPr>
          <w:rFonts w:cstheme="minorHAnsi"/>
        </w:rPr>
        <w:t xml:space="preserve">. </w:t>
      </w:r>
    </w:p>
    <w:p w14:paraId="6BEA5B66" w14:textId="77777777" w:rsidR="003D2ADC" w:rsidRDefault="009F5BEB" w:rsidP="009B39BD">
      <w:pPr>
        <w:spacing w:before="120" w:after="0" w:line="216" w:lineRule="auto"/>
        <w:rPr>
          <w:rFonts w:ascii="Calibri" w:hAnsi="Calibri" w:cs="Calibri"/>
        </w:rPr>
      </w:pPr>
      <w:r w:rsidRPr="009B39BD">
        <w:rPr>
          <w:rFonts w:ascii="Calibri" w:hAnsi="Calibri" w:cs="Calibri"/>
        </w:rPr>
        <w:t>The EV</w:t>
      </w:r>
      <w:r w:rsidR="001D0C02" w:rsidRPr="009B39BD">
        <w:rPr>
          <w:rFonts w:ascii="Calibri" w:hAnsi="Calibri" w:cs="Calibri"/>
        </w:rPr>
        <w:t xml:space="preserve"> efforts contribute to the 100% renewable energy vision of the region and extend the “climate</w:t>
      </w:r>
      <w:r w:rsidR="001D0C02" w:rsidRPr="009F5BEB">
        <w:rPr>
          <w:rFonts w:ascii="Calibri" w:hAnsi="Calibri" w:cs="Calibri"/>
        </w:rPr>
        <w:t xml:space="preserve"> leadership” of PICTs also to the transport sector. </w:t>
      </w:r>
      <w:r w:rsidRPr="009F5BEB">
        <w:rPr>
          <w:rFonts w:ascii="Calibri" w:hAnsi="Calibri" w:cs="Calibri"/>
        </w:rPr>
        <w:t xml:space="preserve">The e-mobility efforts </w:t>
      </w:r>
      <w:r w:rsidR="000F5AC8">
        <w:rPr>
          <w:rFonts w:ascii="Calibri" w:hAnsi="Calibri" w:cs="Calibri"/>
        </w:rPr>
        <w:t xml:space="preserve">would also </w:t>
      </w:r>
      <w:r w:rsidRPr="009F5BEB">
        <w:rPr>
          <w:rFonts w:ascii="Calibri" w:hAnsi="Calibri" w:cs="Calibri"/>
        </w:rPr>
        <w:t xml:space="preserve">address the nexus between regional policies, namely the </w:t>
      </w:r>
      <w:r w:rsidRPr="009F5BEB">
        <w:rPr>
          <w:rFonts w:ascii="Calibri" w:hAnsi="Calibri" w:cs="Calibri"/>
          <w:lang w:val="en-AU"/>
        </w:rPr>
        <w:t>2020-2030 Framework for Action on Energy Security in the Pacific (FAESP)</w:t>
      </w:r>
      <w:r w:rsidRPr="009F5BEB">
        <w:rPr>
          <w:rFonts w:ascii="Calibri" w:hAnsi="Calibri" w:cs="Calibri"/>
        </w:rPr>
        <w:t>, the Framework of Action on Transport Services (FATS) and Framework for Resilient Development in the Pacific (FRDP).</w:t>
      </w:r>
      <w:r>
        <w:rPr>
          <w:rFonts w:ascii="Calibri" w:hAnsi="Calibri" w:cs="Calibri"/>
        </w:rPr>
        <w:t xml:space="preserve"> </w:t>
      </w:r>
    </w:p>
    <w:p w14:paraId="0E889850" w14:textId="18C159E8" w:rsidR="009F5BEB" w:rsidRDefault="00276677" w:rsidP="009B39BD">
      <w:pPr>
        <w:spacing w:before="120" w:after="0" w:line="216" w:lineRule="auto"/>
        <w:rPr>
          <w:rFonts w:ascii="Calibri" w:hAnsi="Calibri" w:cs="Calibri"/>
        </w:rPr>
      </w:pPr>
      <w:r>
        <w:rPr>
          <w:rFonts w:cstheme="minorHAnsi"/>
        </w:rPr>
        <w:t>The Ministers also called for SIDS-SIDS cooperation</w:t>
      </w:r>
      <w:r w:rsidR="00CA3D93">
        <w:rPr>
          <w:rFonts w:cstheme="minorHAnsi"/>
        </w:rPr>
        <w:t xml:space="preserve"> on EV issues and solution</w:t>
      </w:r>
      <w:r>
        <w:rPr>
          <w:rFonts w:cstheme="minorHAnsi"/>
        </w:rPr>
        <w:t xml:space="preserve"> under the </w:t>
      </w:r>
      <w:r w:rsidR="00CA3D93">
        <w:rPr>
          <w:rFonts w:cstheme="minorHAnsi"/>
        </w:rPr>
        <w:t xml:space="preserve">umbrella of the </w:t>
      </w:r>
      <w:r>
        <w:rPr>
          <w:rFonts w:cstheme="minorHAnsi"/>
        </w:rPr>
        <w:t xml:space="preserve">Global Network of Regional Sustainable Energy Centres (GN-SEC) and SIDS DOCK. The </w:t>
      </w:r>
      <w:r>
        <w:rPr>
          <w:rFonts w:ascii="Calibri" w:hAnsi="Calibri" w:cs="Calibri"/>
        </w:rPr>
        <w:t xml:space="preserve">Caribbean Centre for Renewable Energy and Energy Efficiency (CCREEE) is currently establishing a similar strategic EV framework for the Caribbean Community (CARICOM). </w:t>
      </w:r>
    </w:p>
    <w:p w14:paraId="46B0C7CE" w14:textId="29E697C8" w:rsidR="009F5BEB" w:rsidRPr="00FF7D24" w:rsidRDefault="009F5BEB" w:rsidP="00FF7D24">
      <w:pPr>
        <w:spacing w:before="120" w:after="120" w:line="216" w:lineRule="auto"/>
        <w:rPr>
          <w:rFonts w:ascii="Calibri" w:hAnsi="Calibri" w:cs="Calibri"/>
        </w:rPr>
      </w:pPr>
      <w:r>
        <w:rPr>
          <w:rFonts w:ascii="Calibri" w:hAnsi="Calibri" w:cs="Calibri"/>
        </w:rPr>
        <w:t xml:space="preserve">With the program, PICTs will also contribute to </w:t>
      </w:r>
      <w:r w:rsidRPr="0090700D">
        <w:t>global EV initiatives operating under the Paris Declaration on Electric Mobility and Climate Change. For example, t</w:t>
      </w:r>
      <w:r w:rsidRPr="00227088">
        <w:t>he C</w:t>
      </w:r>
      <w:r w:rsidRPr="0090700D">
        <w:t xml:space="preserve">lean </w:t>
      </w:r>
      <w:r w:rsidRPr="00227088">
        <w:t>E</w:t>
      </w:r>
      <w:r w:rsidRPr="0090700D">
        <w:t xml:space="preserve">nergy </w:t>
      </w:r>
      <w:proofErr w:type="spellStart"/>
      <w:r w:rsidRPr="00227088">
        <w:t>M</w:t>
      </w:r>
      <w:r w:rsidRPr="0090700D">
        <w:t>inisterial’</w:t>
      </w:r>
      <w:r w:rsidRPr="00227088">
        <w:t>s</w:t>
      </w:r>
      <w:proofErr w:type="spellEnd"/>
      <w:r w:rsidRPr="00227088">
        <w:t xml:space="preserve"> Electric Vehicles Initiative (EVI)</w:t>
      </w:r>
      <w:r w:rsidRPr="0090700D">
        <w:t xml:space="preserve"> supported by Canada, China, Finland, France, India, Japan, Mexico, Netherlands, Norway and Sweden aims to</w:t>
      </w:r>
      <w:r w:rsidRPr="00227088">
        <w:t xml:space="preserve"> reach a 30% sales share for EVs by 2030. Th</w:t>
      </w:r>
      <w:r w:rsidR="009B39BD">
        <w:t>is</w:t>
      </w:r>
      <w:r w:rsidRPr="00227088">
        <w:t xml:space="preserve"> EV30@30 campaign </w:t>
      </w:r>
      <w:r>
        <w:t xml:space="preserve">sets </w:t>
      </w:r>
      <w:r w:rsidRPr="00227088">
        <w:t>ambitious target</w:t>
      </w:r>
      <w:r>
        <w:t>s</w:t>
      </w:r>
      <w:r w:rsidRPr="00227088">
        <w:t xml:space="preserve"> for electric vehicle (EV) sales that, combined with decarbonisation of the power sector, will keep the world on track to meet our shared climate goals.</w:t>
      </w:r>
      <w:r w:rsidRPr="0090700D">
        <w:t xml:space="preserve"> </w:t>
      </w:r>
    </w:p>
    <w:p w14:paraId="08D8AD5E" w14:textId="5B011C70" w:rsidR="006B3A1F" w:rsidRPr="009F5BEB" w:rsidRDefault="001D0C02" w:rsidP="00FF7D24">
      <w:pPr>
        <w:spacing w:before="120" w:after="120" w:line="216" w:lineRule="auto"/>
      </w:pPr>
      <w:r w:rsidRPr="009F5BEB">
        <w:t xml:space="preserve">The following draft project document describes the main pillars and results framework of the envisaged </w:t>
      </w:r>
      <w:r w:rsidRPr="00FF7D24">
        <w:rPr>
          <w:i/>
        </w:rPr>
        <w:t>Regional Program to Promote E-Mobility Markets in PICTs</w:t>
      </w:r>
      <w:r w:rsidR="009B39BD">
        <w:t xml:space="preserve"> (the output for the third and final stage of this project). </w:t>
      </w:r>
      <w:r w:rsidRPr="009F5BEB">
        <w:t xml:space="preserve">The document is based on the Technical Report </w:t>
      </w:r>
      <w:r w:rsidRPr="00FF7D24">
        <w:rPr>
          <w:i/>
        </w:rPr>
        <w:t>“Options for Integrated Electric Mobility and Renewable Power Markets in the Pacific Island Countries and Territories (PICT</w:t>
      </w:r>
      <w:r w:rsidR="003F3A91" w:rsidRPr="009F5BEB">
        <w:rPr>
          <w:i/>
        </w:rPr>
        <w:t>s</w:t>
      </w:r>
      <w:r w:rsidRPr="00FF7D24">
        <w:rPr>
          <w:i/>
        </w:rPr>
        <w:t>)</w:t>
      </w:r>
      <w:r w:rsidRPr="009F5BEB">
        <w:t xml:space="preserve">“ </w:t>
      </w:r>
      <w:r w:rsidR="009B39BD">
        <w:t xml:space="preserve">(the Stage 1 output for the project), </w:t>
      </w:r>
      <w:r w:rsidRPr="009F5BEB">
        <w:t xml:space="preserve">and the </w:t>
      </w:r>
      <w:r w:rsidR="006B3A1F" w:rsidRPr="009F5BEB">
        <w:rPr>
          <w:i/>
        </w:rPr>
        <w:t>Regional Policy Document on E-Mobility for</w:t>
      </w:r>
      <w:r w:rsidR="003F3A91" w:rsidRPr="00FF7D24">
        <w:rPr>
          <w:i/>
        </w:rPr>
        <w:t xml:space="preserve"> Pacific Island Countries and Territories (PICTs</w:t>
      </w:r>
      <w:r w:rsidR="006B3A1F" w:rsidRPr="009F5BEB">
        <w:t>)</w:t>
      </w:r>
      <w:r w:rsidR="009B39BD">
        <w:t xml:space="preserve"> (the Stage 2 output for the project).</w:t>
      </w:r>
    </w:p>
    <w:p w14:paraId="1556B6CF" w14:textId="77777777" w:rsidR="00B11607" w:rsidRDefault="00B11607">
      <w:pPr>
        <w:jc w:val="left"/>
        <w:rPr>
          <w:rFonts w:eastAsiaTheme="majorEastAsia" w:cstheme="minorHAnsi"/>
          <w:b/>
          <w:color w:val="1F3864" w:themeColor="accent1" w:themeShade="80"/>
          <w:sz w:val="24"/>
          <w:szCs w:val="32"/>
        </w:rPr>
      </w:pPr>
      <w:bookmarkStart w:id="4" w:name="_Toc36839559"/>
      <w:r>
        <w:rPr>
          <w:rFonts w:cstheme="minorHAnsi"/>
          <w:b/>
          <w:color w:val="1F3864" w:themeColor="accent1" w:themeShade="80"/>
          <w:sz w:val="24"/>
        </w:rPr>
        <w:br w:type="page"/>
      </w:r>
    </w:p>
    <w:p w14:paraId="0AE87B36" w14:textId="432FA195" w:rsidR="000A23C1" w:rsidRPr="000C13D7" w:rsidRDefault="000A23C1" w:rsidP="00CF1287">
      <w:pPr>
        <w:pStyle w:val="Heading1"/>
        <w:spacing w:before="0" w:line="216" w:lineRule="auto"/>
        <w:ind w:left="431" w:hanging="431"/>
        <w:rPr>
          <w:rFonts w:asciiTheme="minorHAnsi" w:hAnsiTheme="minorHAnsi" w:cstheme="minorHAnsi"/>
          <w:b/>
          <w:color w:val="1F3864" w:themeColor="accent1" w:themeShade="80"/>
          <w:sz w:val="24"/>
        </w:rPr>
      </w:pPr>
      <w:r w:rsidRPr="000C13D7">
        <w:rPr>
          <w:rFonts w:asciiTheme="minorHAnsi" w:hAnsiTheme="minorHAnsi" w:cstheme="minorHAnsi"/>
          <w:b/>
          <w:color w:val="1F3864" w:themeColor="accent1" w:themeShade="80"/>
          <w:sz w:val="24"/>
        </w:rPr>
        <w:lastRenderedPageBreak/>
        <w:t>Structure</w:t>
      </w:r>
      <w:bookmarkEnd w:id="4"/>
      <w:r w:rsidRPr="000C13D7">
        <w:rPr>
          <w:rFonts w:asciiTheme="minorHAnsi" w:hAnsiTheme="minorHAnsi" w:cstheme="minorHAnsi"/>
          <w:b/>
          <w:color w:val="1F3864" w:themeColor="accent1" w:themeShade="80"/>
          <w:sz w:val="24"/>
        </w:rPr>
        <w:t xml:space="preserve">  </w:t>
      </w:r>
    </w:p>
    <w:p w14:paraId="13CB8CC1" w14:textId="508AE6E7" w:rsidR="000A23C1" w:rsidRPr="002F47F6" w:rsidRDefault="000A23C1" w:rsidP="00CF1287">
      <w:pPr>
        <w:spacing w:after="0" w:line="216" w:lineRule="auto"/>
      </w:pPr>
      <w:r w:rsidRPr="002F47F6">
        <w:t xml:space="preserve">The </w:t>
      </w:r>
      <w:r w:rsidR="006B3A1F">
        <w:t>project document</w:t>
      </w:r>
      <w:r w:rsidR="00992A17">
        <w:t xml:space="preserve"> </w:t>
      </w:r>
      <w:r w:rsidRPr="002F47F6">
        <w:t xml:space="preserve">is structured as follows: </w:t>
      </w:r>
    </w:p>
    <w:p w14:paraId="02E37C31" w14:textId="0B17272D" w:rsidR="00196F69" w:rsidRPr="00370BE5" w:rsidRDefault="000A23C1" w:rsidP="00FF7D24">
      <w:pPr>
        <w:pStyle w:val="ListParagraph"/>
        <w:numPr>
          <w:ilvl w:val="0"/>
          <w:numId w:val="1"/>
        </w:numPr>
        <w:spacing w:after="120" w:line="216" w:lineRule="auto"/>
        <w:ind w:left="754" w:hanging="357"/>
      </w:pPr>
      <w:r w:rsidRPr="00370BE5">
        <w:t>Section 3 recaps the findings of</w:t>
      </w:r>
      <w:r w:rsidR="006B3A1F">
        <w:t xml:space="preserve"> technical report and policy document</w:t>
      </w:r>
      <w:r w:rsidR="000951D1" w:rsidRPr="00370BE5">
        <w:t>;</w:t>
      </w:r>
      <w:r w:rsidR="006B3A1F">
        <w:t xml:space="preserve"> it </w:t>
      </w:r>
      <w:r w:rsidR="00503DAF">
        <w:t xml:space="preserve">also </w:t>
      </w:r>
      <w:r w:rsidR="006B3A1F">
        <w:t>provides an overview on the proposed policy actions to address the identified EV barriers in PICTs;</w:t>
      </w:r>
    </w:p>
    <w:p w14:paraId="6C20207E" w14:textId="77777777" w:rsidR="00667F02" w:rsidRPr="00370BE5" w:rsidRDefault="00196F69" w:rsidP="000A23C1">
      <w:pPr>
        <w:pStyle w:val="ListParagraph"/>
        <w:numPr>
          <w:ilvl w:val="0"/>
          <w:numId w:val="1"/>
        </w:numPr>
        <w:spacing w:after="120" w:line="216" w:lineRule="auto"/>
      </w:pPr>
      <w:r w:rsidRPr="00370BE5">
        <w:t xml:space="preserve">Section 4 </w:t>
      </w:r>
      <w:r w:rsidR="003F2B93">
        <w:t>describes</w:t>
      </w:r>
      <w:r w:rsidR="003F2B93" w:rsidRPr="00370BE5">
        <w:t xml:space="preserve"> </w:t>
      </w:r>
      <w:r w:rsidR="00667F02" w:rsidRPr="00370BE5">
        <w:t>the context in which the proposed Regional EV Program must work</w:t>
      </w:r>
      <w:r w:rsidRPr="00370BE5">
        <w:t>;</w:t>
      </w:r>
      <w:r w:rsidR="00667F02" w:rsidRPr="00370BE5">
        <w:t xml:space="preserve"> </w:t>
      </w:r>
    </w:p>
    <w:p w14:paraId="278B6090" w14:textId="77777777" w:rsidR="00122135" w:rsidRPr="00370BE5" w:rsidRDefault="000A23C1" w:rsidP="000A23C1">
      <w:pPr>
        <w:pStyle w:val="ListParagraph"/>
        <w:numPr>
          <w:ilvl w:val="0"/>
          <w:numId w:val="1"/>
        </w:numPr>
        <w:spacing w:after="120" w:line="216" w:lineRule="auto"/>
      </w:pPr>
      <w:r w:rsidRPr="00370BE5">
        <w:t xml:space="preserve">Section </w:t>
      </w:r>
      <w:r w:rsidR="00196F69" w:rsidRPr="00370BE5">
        <w:t>5</w:t>
      </w:r>
      <w:r w:rsidRPr="00370BE5">
        <w:t xml:space="preserve"> </w:t>
      </w:r>
      <w:r w:rsidR="00370BE5" w:rsidRPr="00370BE5">
        <w:t xml:space="preserve">develops </w:t>
      </w:r>
      <w:r w:rsidR="00667F02" w:rsidRPr="00370BE5">
        <w:t xml:space="preserve">a working </w:t>
      </w:r>
      <w:r w:rsidR="00122135" w:rsidRPr="00370BE5">
        <w:t>structure for the Regional EV Program, introducing and describing the various elements that make it up</w:t>
      </w:r>
      <w:r w:rsidR="00370BE5" w:rsidRPr="00370BE5">
        <w:t>, then develops and presents a results framework for the Regional EV Program</w:t>
      </w:r>
      <w:r w:rsidR="00122135" w:rsidRPr="00370BE5">
        <w:t>;</w:t>
      </w:r>
    </w:p>
    <w:p w14:paraId="2904362D" w14:textId="1246A78B" w:rsidR="000A23C1" w:rsidRPr="002F47F6" w:rsidRDefault="000A23C1" w:rsidP="000A23C1">
      <w:pPr>
        <w:pStyle w:val="ListParagraph"/>
        <w:numPr>
          <w:ilvl w:val="0"/>
          <w:numId w:val="1"/>
        </w:numPr>
        <w:spacing w:after="120" w:line="216" w:lineRule="auto"/>
      </w:pPr>
      <w:r w:rsidRPr="002F47F6">
        <w:t xml:space="preserve">Section </w:t>
      </w:r>
      <w:r w:rsidR="00370BE5">
        <w:t>6</w:t>
      </w:r>
      <w:r w:rsidRPr="002F47F6">
        <w:t xml:space="preserve"> </w:t>
      </w:r>
      <w:r w:rsidR="00992A17">
        <w:t xml:space="preserve">draws up </w:t>
      </w:r>
      <w:r w:rsidR="00503DAF">
        <w:t xml:space="preserve">the </w:t>
      </w:r>
      <w:r w:rsidR="00992A17">
        <w:t>conclusions</w:t>
      </w:r>
      <w:r w:rsidRPr="002F47F6">
        <w:t xml:space="preserve">; </w:t>
      </w:r>
    </w:p>
    <w:p w14:paraId="219F293A" w14:textId="77777777" w:rsidR="00122135" w:rsidRDefault="000A23C1" w:rsidP="000A23C1">
      <w:pPr>
        <w:pStyle w:val="ListParagraph"/>
        <w:numPr>
          <w:ilvl w:val="0"/>
          <w:numId w:val="1"/>
        </w:numPr>
        <w:spacing w:after="120" w:line="216" w:lineRule="auto"/>
      </w:pPr>
      <w:r w:rsidRPr="002F47F6">
        <w:t>Appendi</w:t>
      </w:r>
      <w:r w:rsidR="00122135">
        <w:t>x</w:t>
      </w:r>
      <w:r w:rsidRPr="002F47F6">
        <w:t xml:space="preserve"> A </w:t>
      </w:r>
      <w:r w:rsidR="00122135">
        <w:t>provides a detailed list of the policy actions developed in Stage 2 of the project work; and</w:t>
      </w:r>
    </w:p>
    <w:p w14:paraId="71FD577B" w14:textId="77777777" w:rsidR="00196F69" w:rsidRDefault="00122135" w:rsidP="000A23C1">
      <w:pPr>
        <w:pStyle w:val="ListParagraph"/>
        <w:numPr>
          <w:ilvl w:val="0"/>
          <w:numId w:val="1"/>
        </w:numPr>
        <w:spacing w:after="120" w:line="216" w:lineRule="auto"/>
      </w:pPr>
      <w:r>
        <w:t xml:space="preserve">Appendices B and C </w:t>
      </w:r>
      <w:r w:rsidR="0008219A">
        <w:t xml:space="preserve">set out </w:t>
      </w:r>
      <w:r>
        <w:t>the results framework</w:t>
      </w:r>
      <w:r w:rsidR="00196F69">
        <w:t xml:space="preserve"> </w:t>
      </w:r>
      <w:r w:rsidR="00992A17">
        <w:t xml:space="preserve">of the EV program </w:t>
      </w:r>
      <w:r w:rsidR="003F2B93">
        <w:t xml:space="preserve">in </w:t>
      </w:r>
      <w:r w:rsidR="00196F69">
        <w:t>far more detail.</w:t>
      </w:r>
    </w:p>
    <w:p w14:paraId="1F11F97B" w14:textId="3B9629D5" w:rsidR="000A23C1" w:rsidRPr="00196F69" w:rsidRDefault="006A3557" w:rsidP="00196F69">
      <w:pPr>
        <w:pStyle w:val="Heading1"/>
        <w:rPr>
          <w:rFonts w:asciiTheme="minorHAnsi" w:hAnsiTheme="minorHAnsi" w:cstheme="minorHAnsi"/>
          <w:b/>
          <w:color w:val="1F3864" w:themeColor="accent1" w:themeShade="80"/>
          <w:sz w:val="24"/>
        </w:rPr>
      </w:pPr>
      <w:bookmarkStart w:id="5" w:name="_Toc36839560"/>
      <w:r>
        <w:rPr>
          <w:rFonts w:asciiTheme="minorHAnsi" w:hAnsiTheme="minorHAnsi" w:cstheme="minorHAnsi"/>
          <w:b/>
          <w:color w:val="1F3864" w:themeColor="accent1" w:themeShade="80"/>
          <w:sz w:val="24"/>
        </w:rPr>
        <w:t>Identified E-Mobility Options and Policy Actions</w:t>
      </w:r>
      <w:bookmarkEnd w:id="5"/>
      <w:r>
        <w:rPr>
          <w:rFonts w:asciiTheme="minorHAnsi" w:hAnsiTheme="minorHAnsi" w:cstheme="minorHAnsi"/>
          <w:b/>
          <w:color w:val="1F3864" w:themeColor="accent1" w:themeShade="80"/>
          <w:sz w:val="24"/>
        </w:rPr>
        <w:t xml:space="preserve"> </w:t>
      </w:r>
    </w:p>
    <w:p w14:paraId="48763A5C" w14:textId="7A6D988C" w:rsidR="00132AB2" w:rsidRDefault="00132AB2" w:rsidP="00CF1287">
      <w:pPr>
        <w:spacing w:after="120" w:line="216" w:lineRule="auto"/>
        <w:rPr>
          <w:rFonts w:ascii="Calibri" w:hAnsi="Calibri" w:cs="Calibri"/>
          <w:lang w:val="en-AU"/>
        </w:rPr>
      </w:pPr>
      <w:r>
        <w:rPr>
          <w:rFonts w:ascii="Calibri" w:hAnsi="Calibri" w:cs="Calibri"/>
        </w:rPr>
        <w:t xml:space="preserve">In the first stage of the project, a technical report to inform PICTs decision-makers on e-mobility options and their potential to benefit renewable energy-based power systems of PICTs, was prepared. </w:t>
      </w:r>
      <w:r>
        <w:rPr>
          <w:rFonts w:ascii="Calibri" w:hAnsi="Calibri" w:cs="Calibri"/>
          <w:lang w:val="en-AU"/>
        </w:rPr>
        <w:t xml:space="preserve">The report provided </w:t>
      </w:r>
      <w:r w:rsidRPr="00696353">
        <w:rPr>
          <w:rFonts w:ascii="Calibri" w:hAnsi="Calibri" w:cs="Calibri"/>
          <w:lang w:val="en-AU"/>
        </w:rPr>
        <w:t>a “realistic view” o</w:t>
      </w:r>
      <w:r>
        <w:rPr>
          <w:rFonts w:ascii="Calibri" w:hAnsi="Calibri" w:cs="Calibri"/>
          <w:lang w:val="en-AU"/>
        </w:rPr>
        <w:t>f</w:t>
      </w:r>
      <w:r w:rsidRPr="00696353">
        <w:rPr>
          <w:rFonts w:ascii="Calibri" w:hAnsi="Calibri" w:cs="Calibri"/>
          <w:lang w:val="en-AU"/>
        </w:rPr>
        <w:t xml:space="preserve"> </w:t>
      </w:r>
      <w:r w:rsidRPr="00347804">
        <w:rPr>
          <w:rFonts w:ascii="Calibri" w:hAnsi="Calibri" w:cs="Calibri"/>
          <w:lang w:val="en-AU"/>
        </w:rPr>
        <w:t xml:space="preserve">opportunities, </w:t>
      </w:r>
      <w:r w:rsidRPr="00696353">
        <w:rPr>
          <w:rFonts w:ascii="Calibri" w:hAnsi="Calibri" w:cs="Calibri"/>
          <w:lang w:val="en-AU"/>
        </w:rPr>
        <w:t xml:space="preserve">barriers, </w:t>
      </w:r>
      <w:r>
        <w:rPr>
          <w:rFonts w:ascii="Calibri" w:hAnsi="Calibri" w:cs="Calibri"/>
          <w:lang w:val="en-AU"/>
        </w:rPr>
        <w:t xml:space="preserve">as well as potential risks, </w:t>
      </w:r>
      <w:r w:rsidRPr="00696353">
        <w:rPr>
          <w:rFonts w:ascii="Calibri" w:hAnsi="Calibri" w:cs="Calibri"/>
          <w:lang w:val="en-AU"/>
        </w:rPr>
        <w:t>benefits</w:t>
      </w:r>
      <w:r>
        <w:rPr>
          <w:rFonts w:ascii="Calibri" w:hAnsi="Calibri" w:cs="Calibri"/>
          <w:lang w:val="en-AU"/>
        </w:rPr>
        <w:t xml:space="preserve"> and limitations</w:t>
      </w:r>
      <w:r w:rsidRPr="00696353">
        <w:rPr>
          <w:rFonts w:ascii="Calibri" w:hAnsi="Calibri" w:cs="Calibri"/>
          <w:lang w:val="en-AU"/>
        </w:rPr>
        <w:t>.</w:t>
      </w:r>
      <w:r>
        <w:rPr>
          <w:rFonts w:ascii="Calibri" w:hAnsi="Calibri" w:cs="Calibri"/>
          <w:lang w:val="en-AU"/>
        </w:rPr>
        <w:t xml:space="preserve"> </w:t>
      </w:r>
      <w:r>
        <w:rPr>
          <w:rFonts w:ascii="Calibri" w:hAnsi="Calibri" w:cs="Calibri"/>
        </w:rPr>
        <w:t xml:space="preserve">It provided an overview on the suitability, feasibility and economic viability of </w:t>
      </w:r>
      <w:r w:rsidRPr="00FE0F6C">
        <w:rPr>
          <w:rFonts w:ascii="Calibri" w:hAnsi="Calibri" w:cs="Calibri"/>
        </w:rPr>
        <w:t>various types of EV</w:t>
      </w:r>
      <w:r>
        <w:rPr>
          <w:rFonts w:ascii="Calibri" w:hAnsi="Calibri" w:cs="Calibri"/>
        </w:rPr>
        <w:t>s</w:t>
      </w:r>
      <w:r w:rsidRPr="00FE0F6C">
        <w:rPr>
          <w:rFonts w:ascii="Calibri" w:hAnsi="Calibri" w:cs="Calibri"/>
        </w:rPr>
        <w:t xml:space="preserve">, from push e-scooters to heavy trucks, </w:t>
      </w:r>
      <w:r>
        <w:rPr>
          <w:rFonts w:ascii="Calibri" w:hAnsi="Calibri" w:cs="Calibri"/>
        </w:rPr>
        <w:t xml:space="preserve">when considered in the </w:t>
      </w:r>
      <w:r w:rsidRPr="00FE0F6C">
        <w:rPr>
          <w:rFonts w:ascii="Calibri" w:hAnsi="Calibri" w:cs="Calibri"/>
        </w:rPr>
        <w:t>PICT environment</w:t>
      </w:r>
      <w:r>
        <w:rPr>
          <w:rFonts w:ascii="Calibri" w:hAnsi="Calibri" w:cs="Calibri"/>
        </w:rPr>
        <w:t>. The report found</w:t>
      </w:r>
      <w:r w:rsidRPr="00FE0F6C">
        <w:rPr>
          <w:rFonts w:ascii="Calibri" w:hAnsi="Calibri" w:cs="Calibri"/>
        </w:rPr>
        <w:t xml:space="preserve"> </w:t>
      </w:r>
      <w:r>
        <w:rPr>
          <w:rFonts w:ascii="Calibri" w:hAnsi="Calibri" w:cs="Calibri"/>
        </w:rPr>
        <w:t xml:space="preserve">potential </w:t>
      </w:r>
      <w:r w:rsidRPr="00FE0F6C">
        <w:rPr>
          <w:rFonts w:ascii="Calibri" w:hAnsi="Calibri" w:cs="Calibri"/>
        </w:rPr>
        <w:t>for most forms</w:t>
      </w:r>
      <w:r>
        <w:rPr>
          <w:rFonts w:ascii="Calibri" w:hAnsi="Calibri" w:cs="Calibri"/>
        </w:rPr>
        <w:t xml:space="preserve"> of EVs</w:t>
      </w:r>
      <w:r w:rsidRPr="00FE0F6C">
        <w:rPr>
          <w:rFonts w:ascii="Calibri" w:hAnsi="Calibri" w:cs="Calibri"/>
        </w:rPr>
        <w:t xml:space="preserve">. </w:t>
      </w:r>
    </w:p>
    <w:p w14:paraId="021FDB5E" w14:textId="77777777" w:rsidR="000F5AC8" w:rsidRDefault="000F5AC8" w:rsidP="000F5AC8">
      <w:pPr>
        <w:spacing w:before="120" w:after="120" w:line="216" w:lineRule="auto"/>
        <w:rPr>
          <w:rFonts w:ascii="Calibri" w:hAnsi="Calibri" w:cs="Calibri"/>
        </w:rPr>
      </w:pPr>
      <w:r w:rsidRPr="00FE0F6C">
        <w:rPr>
          <w:rFonts w:ascii="Calibri" w:hAnsi="Calibri" w:cs="Calibri"/>
        </w:rPr>
        <w:t>Consideration was also given to charging EVs and</w:t>
      </w:r>
      <w:r>
        <w:rPr>
          <w:rFonts w:ascii="Calibri" w:hAnsi="Calibri" w:cs="Calibri"/>
        </w:rPr>
        <w:t>, rather than simply treating them as a demand on the local grid, the possibilities for</w:t>
      </w:r>
      <w:r w:rsidRPr="00FE0F6C">
        <w:rPr>
          <w:rFonts w:ascii="Calibri" w:hAnsi="Calibri" w:cs="Calibri"/>
        </w:rPr>
        <w:t xml:space="preserve"> </w:t>
      </w:r>
      <w:r>
        <w:rPr>
          <w:rFonts w:ascii="Calibri" w:hAnsi="Calibri" w:cs="Calibri"/>
        </w:rPr>
        <w:t>integrating them</w:t>
      </w:r>
      <w:r w:rsidRPr="00FE0F6C">
        <w:rPr>
          <w:rFonts w:ascii="Calibri" w:hAnsi="Calibri" w:cs="Calibri"/>
        </w:rPr>
        <w:t xml:space="preserve"> with the supply of electricity by using the capacity of their batteries to support supply</w:t>
      </w:r>
      <w:r>
        <w:rPr>
          <w:rFonts w:ascii="Calibri" w:hAnsi="Calibri" w:cs="Calibri"/>
        </w:rPr>
        <w:t xml:space="preserve"> were explored</w:t>
      </w:r>
      <w:r w:rsidRPr="00FE0F6C">
        <w:rPr>
          <w:rFonts w:ascii="Calibri" w:hAnsi="Calibri" w:cs="Calibri"/>
        </w:rPr>
        <w:t xml:space="preserve">. This work found that </w:t>
      </w:r>
      <w:r>
        <w:rPr>
          <w:rFonts w:ascii="Calibri" w:hAnsi="Calibri" w:cs="Calibri"/>
        </w:rPr>
        <w:t xml:space="preserve">the capability for in-service EVs to support the grid was emerging and this capability was expected to grow, but that </w:t>
      </w:r>
      <w:r w:rsidRPr="00FE0F6C">
        <w:rPr>
          <w:rFonts w:ascii="Calibri" w:hAnsi="Calibri" w:cs="Calibri"/>
        </w:rPr>
        <w:t xml:space="preserve">there are cheaper </w:t>
      </w:r>
      <w:r>
        <w:rPr>
          <w:rFonts w:ascii="Calibri" w:hAnsi="Calibri" w:cs="Calibri"/>
        </w:rPr>
        <w:t xml:space="preserve">and more convenient </w:t>
      </w:r>
      <w:r w:rsidRPr="00FE0F6C">
        <w:rPr>
          <w:rFonts w:ascii="Calibri" w:hAnsi="Calibri" w:cs="Calibri"/>
        </w:rPr>
        <w:t xml:space="preserve">options to achieve the same effect. </w:t>
      </w:r>
      <w:r>
        <w:rPr>
          <w:rFonts w:ascii="Calibri" w:hAnsi="Calibri" w:cs="Calibri"/>
        </w:rPr>
        <w:t xml:space="preserve">However, significant benefit is expected from managing the charging of EVs in coordination with the supply of electricity, rather than EV charging presenting itself as an uncontrolled demand. </w:t>
      </w:r>
    </w:p>
    <w:p w14:paraId="5674F9D8" w14:textId="77777777" w:rsidR="00B11607" w:rsidRDefault="004B5291" w:rsidP="00E81081">
      <w:pPr>
        <w:spacing w:before="120" w:after="120" w:line="216" w:lineRule="auto"/>
        <w:rPr>
          <w:rFonts w:ascii="Calibri" w:hAnsi="Calibri" w:cs="Calibri"/>
          <w:lang w:val="en-AU"/>
        </w:rPr>
      </w:pPr>
      <w:r>
        <w:rPr>
          <w:rFonts w:ascii="Calibri" w:hAnsi="Calibri" w:cs="Calibri"/>
          <w:lang w:val="en-AU"/>
        </w:rPr>
        <w:t>Based on the technical findings, a regional PICTs vision on EVs was prepared in the form of a policy document. The policy document identified the main barriers for the uptake of EVs in PICTs and drew up a thirty-eight (38) concrete policy actions to address them.</w:t>
      </w:r>
      <w:r w:rsidR="00B6167E">
        <w:rPr>
          <w:rFonts w:ascii="Calibri" w:hAnsi="Calibri" w:cs="Calibri"/>
          <w:lang w:val="en-AU"/>
        </w:rPr>
        <w:t xml:space="preserve"> </w:t>
      </w:r>
    </w:p>
    <w:p w14:paraId="011128A2" w14:textId="60A1AEBB" w:rsidR="00B6167E" w:rsidRDefault="00B6167E" w:rsidP="00E81081">
      <w:pPr>
        <w:spacing w:before="120" w:after="120" w:line="216" w:lineRule="auto"/>
        <w:rPr>
          <w:rFonts w:ascii="Calibri" w:hAnsi="Calibri" w:cs="Calibri"/>
        </w:rPr>
      </w:pPr>
      <w:r>
        <w:rPr>
          <w:rFonts w:ascii="Calibri" w:hAnsi="Calibri" w:cs="Calibri"/>
        </w:rPr>
        <w:t xml:space="preserve">The </w:t>
      </w:r>
      <w:r w:rsidRPr="00FE0F6C">
        <w:rPr>
          <w:rFonts w:ascii="Calibri" w:hAnsi="Calibri" w:cs="Calibri"/>
        </w:rPr>
        <w:t>policy acti</w:t>
      </w:r>
      <w:r w:rsidR="000F5AC8">
        <w:rPr>
          <w:rFonts w:ascii="Calibri" w:hAnsi="Calibri" w:cs="Calibri"/>
        </w:rPr>
        <w:t>ons</w:t>
      </w:r>
      <w:r w:rsidRPr="00FE0F6C">
        <w:rPr>
          <w:rFonts w:ascii="Calibri" w:hAnsi="Calibri" w:cs="Calibri"/>
        </w:rPr>
        <w:t xml:space="preserve"> </w:t>
      </w:r>
      <w:r>
        <w:rPr>
          <w:rFonts w:ascii="Calibri" w:hAnsi="Calibri" w:cs="Calibri"/>
        </w:rPr>
        <w:t xml:space="preserve">stretch </w:t>
      </w:r>
      <w:r w:rsidRPr="00FE0F6C">
        <w:rPr>
          <w:rFonts w:ascii="Calibri" w:hAnsi="Calibri" w:cs="Calibri"/>
        </w:rPr>
        <w:t xml:space="preserve">across the four </w:t>
      </w:r>
      <w:r>
        <w:rPr>
          <w:rFonts w:ascii="Calibri" w:hAnsi="Calibri" w:cs="Calibri"/>
        </w:rPr>
        <w:t xml:space="preserve">broad </w:t>
      </w:r>
      <w:r w:rsidRPr="00FE0F6C">
        <w:rPr>
          <w:rFonts w:ascii="Calibri" w:hAnsi="Calibri" w:cs="Calibri"/>
        </w:rPr>
        <w:t>themes</w:t>
      </w:r>
      <w:r w:rsidR="00132AB2">
        <w:rPr>
          <w:rFonts w:ascii="Calibri" w:hAnsi="Calibri" w:cs="Calibri"/>
        </w:rPr>
        <w:t>:</w:t>
      </w:r>
      <w:r>
        <w:rPr>
          <w:rFonts w:ascii="Calibri" w:hAnsi="Calibri" w:cs="Calibri"/>
        </w:rPr>
        <w:t xml:space="preserve"> </w:t>
      </w:r>
      <w:r w:rsidRPr="00FE0F6C">
        <w:rPr>
          <w:rFonts w:ascii="Calibri" w:hAnsi="Calibri" w:cs="Calibri"/>
        </w:rPr>
        <w:t>“Central Policy and Administration”, “Standards and Guidelines”, “Awareness and Promotion”, and “</w:t>
      </w:r>
      <w:r>
        <w:rPr>
          <w:rFonts w:ascii="Calibri" w:hAnsi="Calibri" w:cs="Calibri"/>
        </w:rPr>
        <w:t>Demonstration and Upscale</w:t>
      </w:r>
      <w:r w:rsidRPr="00FE0F6C">
        <w:rPr>
          <w:rFonts w:ascii="Calibri" w:hAnsi="Calibri" w:cs="Calibri"/>
        </w:rPr>
        <w:t>”</w:t>
      </w:r>
      <w:r w:rsidR="000F5AC8">
        <w:rPr>
          <w:rFonts w:ascii="Calibri" w:hAnsi="Calibri" w:cs="Calibri"/>
        </w:rPr>
        <w:t xml:space="preserve"> (noting that these themes </w:t>
      </w:r>
      <w:r w:rsidR="000337CC">
        <w:rPr>
          <w:rFonts w:ascii="Calibri" w:hAnsi="Calibri" w:cs="Calibri"/>
        </w:rPr>
        <w:t xml:space="preserve">broaden the scope from the four areas that </w:t>
      </w:r>
      <w:r w:rsidR="000F5AC8">
        <w:rPr>
          <w:rFonts w:ascii="Calibri" w:hAnsi="Calibri" w:cs="Calibri"/>
        </w:rPr>
        <w:t xml:space="preserve">the Energy and Transport Minister’s requested </w:t>
      </w:r>
      <w:r w:rsidR="000337CC">
        <w:rPr>
          <w:rFonts w:ascii="Calibri" w:hAnsi="Calibri" w:cs="Calibri"/>
        </w:rPr>
        <w:t>consideration of, aimed at providing a more comprehensive overview of the policy requirements for the EV sector.</w:t>
      </w:r>
      <w:r w:rsidRPr="00FE0F6C">
        <w:rPr>
          <w:rFonts w:ascii="Calibri" w:hAnsi="Calibri" w:cs="Calibri"/>
        </w:rPr>
        <w:t xml:space="preserve"> </w:t>
      </w:r>
      <w:r>
        <w:rPr>
          <w:rFonts w:ascii="Calibri" w:hAnsi="Calibri" w:cs="Calibri"/>
          <w:lang w:val="en-AU"/>
        </w:rPr>
        <w:t>The</w:t>
      </w:r>
      <w:r w:rsidR="000337CC">
        <w:rPr>
          <w:rFonts w:ascii="Calibri" w:hAnsi="Calibri" w:cs="Calibri"/>
          <w:lang w:val="en-AU"/>
        </w:rPr>
        <w:t>se</w:t>
      </w:r>
      <w:r>
        <w:rPr>
          <w:rFonts w:ascii="Calibri" w:hAnsi="Calibri" w:cs="Calibri"/>
          <w:lang w:val="en-AU"/>
        </w:rPr>
        <w:t xml:space="preserve"> policy actions aim to </w:t>
      </w:r>
      <w:r w:rsidR="00992A17">
        <w:rPr>
          <w:rFonts w:ascii="Calibri" w:hAnsi="Calibri" w:cs="Calibri"/>
        </w:rPr>
        <w:t>prepare PICTs for their r</w:t>
      </w:r>
      <w:r w:rsidR="001321C9">
        <w:rPr>
          <w:rFonts w:ascii="Calibri" w:hAnsi="Calibri" w:cs="Calibri"/>
        </w:rPr>
        <w:t>espective EV futures and to lea</w:t>
      </w:r>
      <w:r w:rsidR="00132AB2">
        <w:rPr>
          <w:rFonts w:ascii="Calibri" w:hAnsi="Calibri" w:cs="Calibri"/>
        </w:rPr>
        <w:t>d</w:t>
      </w:r>
      <w:r w:rsidR="00992A17">
        <w:rPr>
          <w:rFonts w:ascii="Calibri" w:hAnsi="Calibri" w:cs="Calibri"/>
        </w:rPr>
        <w:t xml:space="preserve"> them through those futures. </w:t>
      </w:r>
    </w:p>
    <w:p w14:paraId="0A507837" w14:textId="06058131" w:rsidR="00B6167E" w:rsidRDefault="00B6167E" w:rsidP="00E81081">
      <w:pPr>
        <w:spacing w:before="120" w:after="120" w:line="216" w:lineRule="auto"/>
        <w:rPr>
          <w:lang w:val="en-US"/>
        </w:rPr>
      </w:pPr>
      <w:r>
        <w:rPr>
          <w:lang w:val="en-US"/>
        </w:rPr>
        <w:t>A harmonized regional approach can help to address</w:t>
      </w:r>
      <w:r w:rsidR="00AC0853">
        <w:rPr>
          <w:lang w:val="en-US"/>
        </w:rPr>
        <w:t xml:space="preserve"> some of the</w:t>
      </w:r>
      <w:r>
        <w:rPr>
          <w:lang w:val="en-US"/>
        </w:rPr>
        <w:t xml:space="preserve"> existing barriers more effectively and at lower cost. It can promote equal progress and standards between PICTs and create the needed economies of scale to influence international vehicle supply chains and investments in charging infrastructure and e-mobility based business models.</w:t>
      </w:r>
      <w:r w:rsidR="00AC0853">
        <w:rPr>
          <w:rStyle w:val="FootnoteReference"/>
          <w:lang w:val="en-US"/>
        </w:rPr>
        <w:footnoteReference w:id="3"/>
      </w:r>
      <w:r w:rsidR="00AC0853">
        <w:rPr>
          <w:lang w:val="en-US"/>
        </w:rPr>
        <w:t xml:space="preserve"> Regional actions can complement and accelerate national efforts in line with the principle of subsidiarity. </w:t>
      </w:r>
    </w:p>
    <w:p w14:paraId="3AAFE955" w14:textId="1C39E6DB" w:rsidR="00B11607" w:rsidRDefault="00D97F28" w:rsidP="00E81081">
      <w:pPr>
        <w:spacing w:before="120" w:after="120" w:line="216" w:lineRule="auto"/>
        <w:rPr>
          <w:lang w:val="en-US"/>
        </w:rPr>
      </w:pPr>
      <w:r>
        <w:rPr>
          <w:noProof/>
          <w:lang w:val="pt-BR" w:eastAsia="pt-BR"/>
        </w:rPr>
        <w:drawing>
          <wp:anchor distT="0" distB="0" distL="114300" distR="114300" simplePos="0" relativeHeight="251661312" behindDoc="1" locked="0" layoutInCell="1" allowOverlap="1" wp14:anchorId="291AD2E0" wp14:editId="52C753C0">
            <wp:simplePos x="0" y="0"/>
            <wp:positionH relativeFrom="column">
              <wp:posOffset>857250</wp:posOffset>
            </wp:positionH>
            <wp:positionV relativeFrom="paragraph">
              <wp:posOffset>5716</wp:posOffset>
            </wp:positionV>
            <wp:extent cx="3928110" cy="1924954"/>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33449" t="39462" r="36540" b="34359"/>
                    <a:stretch/>
                  </pic:blipFill>
                  <pic:spPr bwMode="auto">
                    <a:xfrm>
                      <a:off x="0" y="0"/>
                      <a:ext cx="3931704" cy="1926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249778" w14:textId="677D789A" w:rsidR="00B11607" w:rsidRDefault="00B11607" w:rsidP="00E81081">
      <w:pPr>
        <w:spacing w:before="120" w:after="120" w:line="216" w:lineRule="auto"/>
        <w:rPr>
          <w:lang w:val="en-US"/>
        </w:rPr>
      </w:pPr>
    </w:p>
    <w:p w14:paraId="1FD3A7D1" w14:textId="1BC2F595" w:rsidR="00B11607" w:rsidRDefault="00B11607" w:rsidP="00E81081">
      <w:pPr>
        <w:spacing w:before="120" w:after="120" w:line="216" w:lineRule="auto"/>
        <w:rPr>
          <w:lang w:val="en-US"/>
        </w:rPr>
      </w:pPr>
    </w:p>
    <w:p w14:paraId="15D9D2DF" w14:textId="609B0E82" w:rsidR="00B11607" w:rsidRDefault="00B11607" w:rsidP="00E81081">
      <w:pPr>
        <w:spacing w:before="120" w:after="120" w:line="216" w:lineRule="auto"/>
        <w:rPr>
          <w:lang w:val="en-US"/>
        </w:rPr>
      </w:pPr>
    </w:p>
    <w:p w14:paraId="607B7599" w14:textId="6214F508" w:rsidR="00B11607" w:rsidRDefault="00B11607" w:rsidP="00E81081">
      <w:pPr>
        <w:spacing w:before="120" w:after="120" w:line="216" w:lineRule="auto"/>
        <w:rPr>
          <w:lang w:val="en-US"/>
        </w:rPr>
      </w:pPr>
    </w:p>
    <w:p w14:paraId="18CD1917" w14:textId="7E6FCBB9" w:rsidR="00B6167E" w:rsidRDefault="00B6167E" w:rsidP="00E81081">
      <w:pPr>
        <w:spacing w:before="120" w:after="120" w:line="216" w:lineRule="auto"/>
        <w:rPr>
          <w:rFonts w:ascii="Calibri" w:hAnsi="Calibri" w:cs="Calibri"/>
        </w:rPr>
      </w:pPr>
    </w:p>
    <w:p w14:paraId="0F4857FB" w14:textId="3441E4A1" w:rsidR="000A23C1" w:rsidRPr="00B6167E" w:rsidRDefault="000A23C1" w:rsidP="00E81081">
      <w:pPr>
        <w:spacing w:before="120" w:after="120" w:line="216" w:lineRule="auto"/>
        <w:rPr>
          <w:rFonts w:ascii="Calibri" w:hAnsi="Calibri" w:cs="Calibri"/>
        </w:rPr>
      </w:pPr>
    </w:p>
    <w:p w14:paraId="40877BB3" w14:textId="28A14949" w:rsidR="00D97F28" w:rsidRDefault="00D97F28">
      <w:pPr>
        <w:spacing w:after="120" w:line="216" w:lineRule="auto"/>
        <w:jc w:val="center"/>
        <w:rPr>
          <w:rFonts w:ascii="Calibri" w:hAnsi="Calibri" w:cs="Calibri"/>
        </w:rPr>
      </w:pPr>
    </w:p>
    <w:p w14:paraId="1EEB8E66" w14:textId="5F7DC522" w:rsidR="00C5281E" w:rsidRPr="00F67140" w:rsidRDefault="00F46672" w:rsidP="00CF1287">
      <w:pPr>
        <w:spacing w:after="0" w:line="216" w:lineRule="auto"/>
        <w:jc w:val="center"/>
        <w:rPr>
          <w:b/>
          <w:bCs/>
          <w:sz w:val="20"/>
          <w:szCs w:val="20"/>
        </w:rPr>
      </w:pPr>
      <w:r w:rsidRPr="00CF1287">
        <w:rPr>
          <w:b/>
          <w:sz w:val="20"/>
          <w:szCs w:val="20"/>
        </w:rPr>
        <w:t xml:space="preserve">Figure </w:t>
      </w:r>
      <w:r w:rsidRPr="00CF1287">
        <w:rPr>
          <w:b/>
          <w:sz w:val="20"/>
          <w:szCs w:val="20"/>
        </w:rPr>
        <w:fldChar w:fldCharType="begin"/>
      </w:r>
      <w:r w:rsidRPr="00CF1287">
        <w:rPr>
          <w:b/>
          <w:sz w:val="20"/>
          <w:szCs w:val="20"/>
        </w:rPr>
        <w:instrText xml:space="preserve"> SEQ Figure \* ARABIC </w:instrText>
      </w:r>
      <w:r w:rsidRPr="00CF1287">
        <w:rPr>
          <w:b/>
          <w:sz w:val="20"/>
          <w:szCs w:val="20"/>
        </w:rPr>
        <w:fldChar w:fldCharType="separate"/>
      </w:r>
      <w:r w:rsidRPr="00CF1287">
        <w:rPr>
          <w:b/>
          <w:noProof/>
          <w:sz w:val="20"/>
          <w:szCs w:val="20"/>
        </w:rPr>
        <w:t>1</w:t>
      </w:r>
      <w:r w:rsidRPr="00CF1287">
        <w:rPr>
          <w:b/>
          <w:sz w:val="20"/>
          <w:szCs w:val="20"/>
        </w:rPr>
        <w:fldChar w:fldCharType="end"/>
      </w:r>
      <w:r w:rsidRPr="00CF1287">
        <w:rPr>
          <w:b/>
          <w:sz w:val="20"/>
          <w:szCs w:val="20"/>
        </w:rPr>
        <w:t xml:space="preserve">: </w:t>
      </w:r>
      <w:r w:rsidR="00F06E85" w:rsidRPr="00052BBB">
        <w:rPr>
          <w:b/>
          <w:bCs/>
          <w:sz w:val="20"/>
          <w:szCs w:val="20"/>
        </w:rPr>
        <w:t xml:space="preserve">Regional </w:t>
      </w:r>
      <w:r w:rsidR="002E44DD">
        <w:rPr>
          <w:b/>
          <w:bCs/>
          <w:sz w:val="20"/>
          <w:szCs w:val="20"/>
        </w:rPr>
        <w:t>C</w:t>
      </w:r>
      <w:r w:rsidR="00F06E85" w:rsidRPr="00052BBB">
        <w:rPr>
          <w:b/>
          <w:bCs/>
          <w:sz w:val="20"/>
          <w:szCs w:val="20"/>
        </w:rPr>
        <w:t xml:space="preserve">ooperation as </w:t>
      </w:r>
      <w:r w:rsidR="002E44DD">
        <w:rPr>
          <w:b/>
          <w:bCs/>
          <w:sz w:val="20"/>
          <w:szCs w:val="20"/>
        </w:rPr>
        <w:t>an A</w:t>
      </w:r>
      <w:r w:rsidR="00F06E85" w:rsidRPr="00052BBB">
        <w:rPr>
          <w:b/>
          <w:bCs/>
          <w:sz w:val="20"/>
          <w:szCs w:val="20"/>
        </w:rPr>
        <w:t xml:space="preserve">ccelerator for the EV </w:t>
      </w:r>
      <w:r w:rsidR="002E44DD">
        <w:rPr>
          <w:b/>
          <w:bCs/>
          <w:sz w:val="20"/>
          <w:szCs w:val="20"/>
        </w:rPr>
        <w:t>M</w:t>
      </w:r>
      <w:r w:rsidR="00F06E85" w:rsidRPr="00052BBB">
        <w:rPr>
          <w:b/>
          <w:bCs/>
          <w:sz w:val="20"/>
          <w:szCs w:val="20"/>
        </w:rPr>
        <w:t xml:space="preserve">arket </w:t>
      </w:r>
      <w:r w:rsidR="002E44DD" w:rsidRPr="00CF1287">
        <w:rPr>
          <w:b/>
          <w:bCs/>
          <w:sz w:val="20"/>
          <w:szCs w:val="20"/>
          <w:shd w:val="clear" w:color="auto" w:fill="FFFFFF" w:themeFill="background1"/>
        </w:rPr>
        <w:t>U</w:t>
      </w:r>
      <w:r w:rsidR="00F06E85" w:rsidRPr="00CF1287">
        <w:rPr>
          <w:b/>
          <w:bCs/>
          <w:sz w:val="20"/>
          <w:szCs w:val="20"/>
          <w:shd w:val="clear" w:color="auto" w:fill="FFFFFF" w:themeFill="background1"/>
        </w:rPr>
        <w:t xml:space="preserve">ptake in </w:t>
      </w:r>
      <w:r w:rsidR="00F06E85" w:rsidRPr="00052BBB">
        <w:rPr>
          <w:b/>
          <w:bCs/>
          <w:sz w:val="20"/>
          <w:szCs w:val="20"/>
        </w:rPr>
        <w:t>PICTs</w:t>
      </w:r>
      <w:r w:rsidR="00AF43B2" w:rsidRPr="00052BBB">
        <w:rPr>
          <w:b/>
          <w:bCs/>
          <w:sz w:val="20"/>
          <w:szCs w:val="20"/>
        </w:rPr>
        <w:t xml:space="preserve"> (GN-SEC/UNIDO)</w:t>
      </w:r>
    </w:p>
    <w:p w14:paraId="0EDD824A" w14:textId="2E239F11" w:rsidR="00F06E85" w:rsidRDefault="00F35A64" w:rsidP="00C10E54">
      <w:pPr>
        <w:spacing w:before="120" w:after="120" w:line="216" w:lineRule="auto"/>
        <w:rPr>
          <w:noProof/>
          <w:lang w:val="pt-BR" w:eastAsia="pt-BR"/>
        </w:rPr>
      </w:pPr>
      <w:r>
        <w:rPr>
          <w:rFonts w:ascii="Calibri" w:hAnsi="Calibri" w:cs="Calibri"/>
        </w:rPr>
        <w:lastRenderedPageBreak/>
        <w:t>T</w:t>
      </w:r>
      <w:r w:rsidR="00196F69">
        <w:rPr>
          <w:rFonts w:ascii="Calibri" w:hAnsi="Calibri" w:cs="Calibri"/>
        </w:rPr>
        <w:t xml:space="preserve">hese </w:t>
      </w:r>
      <w:r w:rsidR="00132AB2">
        <w:rPr>
          <w:rFonts w:ascii="Calibri" w:hAnsi="Calibri" w:cs="Calibri"/>
        </w:rPr>
        <w:t xml:space="preserve">policy actions </w:t>
      </w:r>
      <w:r w:rsidR="00196F69">
        <w:rPr>
          <w:rFonts w:ascii="Calibri" w:hAnsi="Calibri" w:cs="Calibri"/>
        </w:rPr>
        <w:t xml:space="preserve">are the </w:t>
      </w:r>
      <w:r w:rsidR="00C10E54">
        <w:rPr>
          <w:rFonts w:ascii="Calibri" w:hAnsi="Calibri" w:cs="Calibri"/>
        </w:rPr>
        <w:t>recommended</w:t>
      </w:r>
      <w:r w:rsidR="00132AB2">
        <w:rPr>
          <w:rFonts w:ascii="Calibri" w:hAnsi="Calibri" w:cs="Calibri"/>
        </w:rPr>
        <w:t>, or target,</w:t>
      </w:r>
      <w:r w:rsidR="00C10E54">
        <w:rPr>
          <w:rFonts w:ascii="Calibri" w:hAnsi="Calibri" w:cs="Calibri"/>
        </w:rPr>
        <w:t xml:space="preserve"> actions to be managed as part of </w:t>
      </w:r>
      <w:r w:rsidR="006A3557">
        <w:rPr>
          <w:rFonts w:ascii="Calibri" w:hAnsi="Calibri" w:cs="Calibri"/>
        </w:rPr>
        <w:t xml:space="preserve">the proposed regional EV program </w:t>
      </w:r>
      <w:r w:rsidR="00C10E54">
        <w:rPr>
          <w:rFonts w:ascii="Calibri" w:hAnsi="Calibri" w:cs="Calibri"/>
        </w:rPr>
        <w:t xml:space="preserve">– essentially, they </w:t>
      </w:r>
      <w:r w:rsidR="00C10E54" w:rsidRPr="00F614B5">
        <w:rPr>
          <w:rFonts w:ascii="Calibri" w:hAnsi="Calibri" w:cs="Calibri"/>
          <w:i/>
        </w:rPr>
        <w:t>are</w:t>
      </w:r>
      <w:r w:rsidR="00C10E54">
        <w:rPr>
          <w:rFonts w:ascii="Calibri" w:hAnsi="Calibri" w:cs="Calibri"/>
        </w:rPr>
        <w:t xml:space="preserve"> the Regional EV Program. </w:t>
      </w:r>
      <w:r w:rsidR="0008219A">
        <w:rPr>
          <w:rFonts w:ascii="Calibri" w:hAnsi="Calibri" w:cs="Calibri"/>
        </w:rPr>
        <w:t>In recognition of their significance, t</w:t>
      </w:r>
      <w:r w:rsidR="00DD0FFD" w:rsidRPr="00FE0F6C">
        <w:rPr>
          <w:rFonts w:ascii="Calibri" w:hAnsi="Calibri" w:cs="Calibri"/>
        </w:rPr>
        <w:t xml:space="preserve">hese policy actions have been summarised and presented </w:t>
      </w:r>
      <w:r w:rsidR="006E1A22">
        <w:rPr>
          <w:rFonts w:ascii="Calibri" w:hAnsi="Calibri" w:cs="Calibri"/>
        </w:rPr>
        <w:t xml:space="preserve">in Table 1 </w:t>
      </w:r>
      <w:r w:rsidR="00DD0FFD" w:rsidRPr="00FE0F6C">
        <w:rPr>
          <w:rFonts w:ascii="Calibri" w:hAnsi="Calibri" w:cs="Calibri"/>
        </w:rPr>
        <w:t>below</w:t>
      </w:r>
      <w:r w:rsidR="00C10E54">
        <w:rPr>
          <w:rFonts w:ascii="Calibri" w:hAnsi="Calibri" w:cs="Calibri"/>
        </w:rPr>
        <w:t xml:space="preserve">. A detailed list is provided in </w:t>
      </w:r>
      <w:r w:rsidR="00AC3D1D">
        <w:rPr>
          <w:rFonts w:ascii="Calibri" w:hAnsi="Calibri" w:cs="Calibri"/>
        </w:rPr>
        <w:t>Appendix A</w:t>
      </w:r>
      <w:r w:rsidR="00C10E54">
        <w:rPr>
          <w:rFonts w:ascii="Calibri" w:hAnsi="Calibri" w:cs="Calibri"/>
        </w:rPr>
        <w:t>.</w:t>
      </w:r>
      <w:r w:rsidR="00AC0853" w:rsidRPr="00AC0853">
        <w:rPr>
          <w:noProof/>
          <w:lang w:val="pt-BR" w:eastAsia="pt-BR"/>
        </w:rPr>
        <w:t xml:space="preserve"> </w:t>
      </w:r>
    </w:p>
    <w:tbl>
      <w:tblPr>
        <w:tblStyle w:val="TableGrid"/>
        <w:tblW w:w="0" w:type="auto"/>
        <w:tblCellSpacing w:w="11" w:type="dxa"/>
        <w:tblLook w:val="04A0" w:firstRow="1" w:lastRow="0" w:firstColumn="1" w:lastColumn="0" w:noHBand="0" w:noVBand="1"/>
      </w:tblPr>
      <w:tblGrid>
        <w:gridCol w:w="38"/>
        <w:gridCol w:w="8940"/>
        <w:gridCol w:w="38"/>
      </w:tblGrid>
      <w:tr w:rsidR="00C10E54" w:rsidRPr="00FD2DBB" w14:paraId="27998882" w14:textId="77777777" w:rsidTr="00CF1287">
        <w:trPr>
          <w:trHeight w:val="303"/>
          <w:tblCellSpacing w:w="11" w:type="dxa"/>
        </w:trPr>
        <w:tc>
          <w:tcPr>
            <w:tcW w:w="8972" w:type="dxa"/>
            <w:gridSpan w:val="3"/>
            <w:shd w:val="clear" w:color="auto" w:fill="8EAADB" w:themeFill="accent1" w:themeFillTint="99"/>
          </w:tcPr>
          <w:p w14:paraId="150623D6" w14:textId="54897E94" w:rsidR="001321C9" w:rsidRPr="00FD2DBB" w:rsidRDefault="00380BE5" w:rsidP="00FF7D24">
            <w:pPr>
              <w:jc w:val="center"/>
              <w:rPr>
                <w:rFonts w:ascii="Calibri" w:hAnsi="Calibri" w:cs="Calibri"/>
                <w:b/>
                <w:bCs/>
                <w:sz w:val="22"/>
                <w:szCs w:val="22"/>
                <w:lang w:val="en-NZ"/>
              </w:rPr>
            </w:pPr>
            <w:r w:rsidRPr="00FD2DBB">
              <w:rPr>
                <w:rFonts w:ascii="Calibri" w:hAnsi="Calibri" w:cs="Calibri"/>
                <w:b/>
                <w:bCs/>
              </w:rPr>
              <w:t xml:space="preserve">Summary of </w:t>
            </w:r>
            <w:r w:rsidR="00C10E54" w:rsidRPr="00FD2DBB">
              <w:rPr>
                <w:rFonts w:ascii="Calibri" w:hAnsi="Calibri" w:cs="Calibri"/>
                <w:b/>
                <w:bCs/>
              </w:rPr>
              <w:t xml:space="preserve">Target Actions of the Regional EV </w:t>
            </w:r>
            <w:r w:rsidR="006E1A22" w:rsidRPr="00FD2DBB">
              <w:rPr>
                <w:rFonts w:ascii="Calibri" w:hAnsi="Calibri" w:cs="Calibri"/>
                <w:b/>
                <w:bCs/>
              </w:rPr>
              <w:t>Program</w:t>
            </w:r>
          </w:p>
        </w:tc>
      </w:tr>
      <w:tr w:rsidR="00C10E54" w:rsidRPr="00FD2DBB" w14:paraId="28F042EA" w14:textId="77777777" w:rsidTr="008325C9">
        <w:trPr>
          <w:tblCellSpacing w:w="11" w:type="dxa"/>
        </w:trPr>
        <w:tc>
          <w:tcPr>
            <w:tcW w:w="8972" w:type="dxa"/>
            <w:gridSpan w:val="3"/>
            <w:shd w:val="clear" w:color="auto" w:fill="BF8F00" w:themeFill="accent4" w:themeFillShade="BF"/>
          </w:tcPr>
          <w:p w14:paraId="4816ACCE" w14:textId="77777777" w:rsidR="00C10E54" w:rsidRPr="00CF1287" w:rsidRDefault="00C10E54" w:rsidP="00C10E54">
            <w:pPr>
              <w:spacing w:line="216" w:lineRule="auto"/>
              <w:rPr>
                <w:rFonts w:ascii="Calibri" w:hAnsi="Calibri" w:cs="Calibri"/>
                <w:b/>
                <w:bCs/>
                <w:sz w:val="20"/>
                <w:szCs w:val="20"/>
              </w:rPr>
            </w:pPr>
            <w:r w:rsidRPr="00CF1287">
              <w:rPr>
                <w:rFonts w:ascii="Calibri" w:hAnsi="Calibri" w:cs="Calibri"/>
                <w:b/>
                <w:bCs/>
                <w:sz w:val="20"/>
                <w:szCs w:val="20"/>
              </w:rPr>
              <w:t>Central Policy and Administration:</w:t>
            </w:r>
          </w:p>
        </w:tc>
      </w:tr>
      <w:tr w:rsidR="00C10E54" w:rsidRPr="00FD2DBB" w14:paraId="32FD2BF6" w14:textId="77777777" w:rsidTr="008325C9">
        <w:trPr>
          <w:trHeight w:val="2639"/>
          <w:tblCellSpacing w:w="11" w:type="dxa"/>
        </w:trPr>
        <w:tc>
          <w:tcPr>
            <w:tcW w:w="8972" w:type="dxa"/>
            <w:gridSpan w:val="3"/>
          </w:tcPr>
          <w:p w14:paraId="2443C9F3" w14:textId="624C5BEB" w:rsidR="00C10E54" w:rsidRPr="00CF1287" w:rsidRDefault="00F35A64" w:rsidP="006131D6">
            <w:pPr>
              <w:pStyle w:val="ListParagraph"/>
              <w:numPr>
                <w:ilvl w:val="0"/>
                <w:numId w:val="6"/>
              </w:numPr>
              <w:spacing w:line="216" w:lineRule="auto"/>
              <w:rPr>
                <w:rFonts w:ascii="Calibri" w:hAnsi="Calibri" w:cs="Calibri"/>
                <w:sz w:val="20"/>
                <w:szCs w:val="20"/>
              </w:rPr>
            </w:pPr>
            <w:r w:rsidRPr="00CF1287">
              <w:rPr>
                <w:rFonts w:ascii="Calibri" w:hAnsi="Calibri" w:cs="Calibri"/>
                <w:sz w:val="20"/>
                <w:szCs w:val="20"/>
              </w:rPr>
              <w:t>Develop high-level targets and mandates concerning EV uptake</w:t>
            </w:r>
            <w:r w:rsidR="00C10E54" w:rsidRPr="00CF1287">
              <w:rPr>
                <w:rFonts w:ascii="Calibri" w:hAnsi="Calibri" w:cs="Calibri"/>
                <w:sz w:val="20"/>
                <w:szCs w:val="20"/>
              </w:rPr>
              <w:t xml:space="preserve">. </w:t>
            </w:r>
            <w:r w:rsidR="00C10E54" w:rsidRPr="00CF1287">
              <w:rPr>
                <w:rFonts w:ascii="Calibri" w:hAnsi="Calibri" w:cs="Calibri"/>
                <w:sz w:val="20"/>
                <w:szCs w:val="20"/>
              </w:rPr>
              <w:tab/>
            </w:r>
            <w:r w:rsidR="00C10E54" w:rsidRPr="00CF1287">
              <w:rPr>
                <w:rFonts w:ascii="Calibri" w:hAnsi="Calibri" w:cs="Calibri"/>
                <w:sz w:val="20"/>
                <w:szCs w:val="20"/>
              </w:rPr>
              <w:tab/>
            </w:r>
          </w:p>
          <w:p w14:paraId="57A738EE" w14:textId="2E75CFF9" w:rsidR="00C10E54" w:rsidRPr="00CF1287" w:rsidRDefault="00C10E54" w:rsidP="006131D6">
            <w:pPr>
              <w:pStyle w:val="ListParagraph"/>
              <w:numPr>
                <w:ilvl w:val="0"/>
                <w:numId w:val="6"/>
              </w:numPr>
              <w:spacing w:line="216" w:lineRule="auto"/>
              <w:rPr>
                <w:rFonts w:ascii="Calibri" w:hAnsi="Calibri" w:cs="Calibri"/>
                <w:sz w:val="20"/>
                <w:szCs w:val="20"/>
              </w:rPr>
            </w:pPr>
            <w:r w:rsidRPr="00CF1287">
              <w:rPr>
                <w:rFonts w:ascii="Calibri" w:hAnsi="Calibri" w:cs="Calibri"/>
                <w:sz w:val="20"/>
                <w:szCs w:val="20"/>
              </w:rPr>
              <w:t xml:space="preserve">Form a </w:t>
            </w:r>
            <w:r w:rsidR="00F35A64" w:rsidRPr="00CF1287">
              <w:rPr>
                <w:rFonts w:ascii="Calibri" w:hAnsi="Calibri" w:cs="Calibri"/>
                <w:sz w:val="20"/>
                <w:szCs w:val="20"/>
              </w:rPr>
              <w:t>staffed and funded R</w:t>
            </w:r>
            <w:r w:rsidRPr="00CF1287">
              <w:rPr>
                <w:rFonts w:ascii="Calibri" w:hAnsi="Calibri" w:cs="Calibri"/>
                <w:sz w:val="20"/>
                <w:szCs w:val="20"/>
              </w:rPr>
              <w:t xml:space="preserve">egional EV </w:t>
            </w:r>
            <w:r w:rsidR="00F35A64" w:rsidRPr="00CF1287">
              <w:rPr>
                <w:rFonts w:ascii="Calibri" w:hAnsi="Calibri" w:cs="Calibri"/>
                <w:sz w:val="20"/>
                <w:szCs w:val="20"/>
              </w:rPr>
              <w:t>H</w:t>
            </w:r>
            <w:r w:rsidRPr="00CF1287">
              <w:rPr>
                <w:rFonts w:ascii="Calibri" w:hAnsi="Calibri" w:cs="Calibri"/>
                <w:sz w:val="20"/>
                <w:szCs w:val="20"/>
              </w:rPr>
              <w:t xml:space="preserve">ub with regional representatives responsible for coordinating </w:t>
            </w:r>
            <w:r w:rsidR="0008219A" w:rsidRPr="00CF1287">
              <w:rPr>
                <w:rFonts w:ascii="Calibri" w:hAnsi="Calibri" w:cs="Calibri"/>
                <w:sz w:val="20"/>
                <w:szCs w:val="20"/>
              </w:rPr>
              <w:t xml:space="preserve">national </w:t>
            </w:r>
            <w:r w:rsidRPr="00CF1287">
              <w:rPr>
                <w:rFonts w:ascii="Calibri" w:hAnsi="Calibri" w:cs="Calibri"/>
                <w:sz w:val="20"/>
                <w:szCs w:val="20"/>
              </w:rPr>
              <w:t>programs and collecting and sharing information</w:t>
            </w:r>
            <w:r w:rsidR="00F35A64" w:rsidRPr="00CF1287">
              <w:rPr>
                <w:rFonts w:ascii="Calibri" w:hAnsi="Calibri" w:cs="Calibri"/>
                <w:sz w:val="20"/>
                <w:szCs w:val="20"/>
              </w:rPr>
              <w:t xml:space="preserve"> and international links including those related to SIDS-SIDS cooperation</w:t>
            </w:r>
            <w:r w:rsidRPr="00CF1287">
              <w:rPr>
                <w:rFonts w:ascii="Calibri" w:hAnsi="Calibri" w:cs="Calibri"/>
                <w:sz w:val="20"/>
                <w:szCs w:val="20"/>
              </w:rPr>
              <w:t>.</w:t>
            </w:r>
            <w:r w:rsidRPr="00CF1287">
              <w:rPr>
                <w:rFonts w:ascii="Calibri" w:hAnsi="Calibri" w:cs="Calibri"/>
                <w:sz w:val="20"/>
                <w:szCs w:val="20"/>
              </w:rPr>
              <w:tab/>
            </w:r>
            <w:r w:rsidRPr="00CF1287">
              <w:rPr>
                <w:rFonts w:ascii="Calibri" w:hAnsi="Calibri" w:cs="Calibri"/>
                <w:sz w:val="20"/>
                <w:szCs w:val="20"/>
              </w:rPr>
              <w:tab/>
            </w:r>
          </w:p>
          <w:p w14:paraId="453FF181" w14:textId="6B4B2696" w:rsidR="00C10E54" w:rsidRPr="00CF1287" w:rsidRDefault="00353C9F" w:rsidP="006131D6">
            <w:pPr>
              <w:pStyle w:val="ListParagraph"/>
              <w:numPr>
                <w:ilvl w:val="0"/>
                <w:numId w:val="6"/>
              </w:numPr>
              <w:spacing w:line="216" w:lineRule="auto"/>
              <w:rPr>
                <w:rFonts w:ascii="Calibri" w:hAnsi="Calibri" w:cs="Calibri"/>
                <w:sz w:val="20"/>
                <w:szCs w:val="20"/>
              </w:rPr>
            </w:pPr>
            <w:r w:rsidRPr="00CF1287">
              <w:rPr>
                <w:rFonts w:ascii="Calibri" w:hAnsi="Calibri" w:cs="Calibri"/>
                <w:sz w:val="20"/>
                <w:szCs w:val="20"/>
              </w:rPr>
              <w:t xml:space="preserve">Support PICTs in developing and implementing </w:t>
            </w:r>
            <w:r w:rsidR="00C10E54" w:rsidRPr="00CF1287">
              <w:rPr>
                <w:rFonts w:ascii="Calibri" w:hAnsi="Calibri" w:cs="Calibri"/>
                <w:sz w:val="20"/>
                <w:szCs w:val="20"/>
              </w:rPr>
              <w:t>EV roadmaps</w:t>
            </w:r>
            <w:r w:rsidR="009A1F8A" w:rsidRPr="00CF1287">
              <w:rPr>
                <w:rFonts w:ascii="Calibri" w:hAnsi="Calibri" w:cs="Calibri"/>
                <w:sz w:val="20"/>
                <w:szCs w:val="20"/>
              </w:rPr>
              <w:t>.</w:t>
            </w:r>
            <w:r w:rsidR="00C10E54" w:rsidRPr="00CF1287">
              <w:rPr>
                <w:rFonts w:ascii="Calibri" w:hAnsi="Calibri" w:cs="Calibri"/>
                <w:sz w:val="20"/>
                <w:szCs w:val="20"/>
              </w:rPr>
              <w:tab/>
            </w:r>
            <w:r w:rsidR="00C10E54" w:rsidRPr="00CF1287">
              <w:rPr>
                <w:rFonts w:ascii="Calibri" w:hAnsi="Calibri" w:cs="Calibri"/>
                <w:sz w:val="20"/>
                <w:szCs w:val="20"/>
              </w:rPr>
              <w:tab/>
            </w:r>
          </w:p>
          <w:p w14:paraId="4120C30C" w14:textId="122082E1" w:rsidR="00C10E54" w:rsidRPr="00CF1287" w:rsidRDefault="00C10E54" w:rsidP="006131D6">
            <w:pPr>
              <w:pStyle w:val="ListParagraph"/>
              <w:numPr>
                <w:ilvl w:val="0"/>
                <w:numId w:val="6"/>
              </w:numPr>
              <w:spacing w:line="216" w:lineRule="auto"/>
              <w:rPr>
                <w:rFonts w:ascii="Calibri" w:hAnsi="Calibri" w:cs="Calibri"/>
                <w:sz w:val="20"/>
                <w:szCs w:val="20"/>
              </w:rPr>
            </w:pPr>
            <w:r w:rsidRPr="00CF1287">
              <w:rPr>
                <w:rFonts w:ascii="Calibri" w:hAnsi="Calibri" w:cs="Calibri"/>
                <w:sz w:val="20"/>
                <w:szCs w:val="20"/>
              </w:rPr>
              <w:t xml:space="preserve">As appropriate, set tax levels </w:t>
            </w:r>
            <w:r w:rsidR="00F35A64" w:rsidRPr="00CF1287">
              <w:rPr>
                <w:rFonts w:ascii="Calibri" w:hAnsi="Calibri" w:cs="Calibri"/>
                <w:sz w:val="20"/>
                <w:szCs w:val="20"/>
              </w:rPr>
              <w:t xml:space="preserve">or other </w:t>
            </w:r>
            <w:r w:rsidRPr="00CF1287">
              <w:rPr>
                <w:rFonts w:ascii="Calibri" w:hAnsi="Calibri" w:cs="Calibri"/>
                <w:sz w:val="20"/>
                <w:szCs w:val="20"/>
              </w:rPr>
              <w:t xml:space="preserve">to encourage </w:t>
            </w:r>
            <w:r w:rsidR="0008219A" w:rsidRPr="00CF1287">
              <w:rPr>
                <w:rFonts w:ascii="Calibri" w:hAnsi="Calibri" w:cs="Calibri"/>
                <w:sz w:val="20"/>
                <w:szCs w:val="20"/>
              </w:rPr>
              <w:t xml:space="preserve">the </w:t>
            </w:r>
            <w:r w:rsidRPr="00CF1287">
              <w:rPr>
                <w:rFonts w:ascii="Calibri" w:hAnsi="Calibri" w:cs="Calibri"/>
                <w:sz w:val="20"/>
                <w:szCs w:val="20"/>
              </w:rPr>
              <w:t>import</w:t>
            </w:r>
            <w:r w:rsidR="0008219A" w:rsidRPr="00CF1287">
              <w:rPr>
                <w:rFonts w:ascii="Calibri" w:hAnsi="Calibri" w:cs="Calibri"/>
                <w:sz w:val="20"/>
                <w:szCs w:val="20"/>
              </w:rPr>
              <w:t>ation</w:t>
            </w:r>
            <w:r w:rsidRPr="00CF1287">
              <w:rPr>
                <w:rFonts w:ascii="Calibri" w:hAnsi="Calibri" w:cs="Calibri"/>
                <w:sz w:val="20"/>
                <w:szCs w:val="20"/>
              </w:rPr>
              <w:t xml:space="preserve"> of desired goods.</w:t>
            </w:r>
          </w:p>
          <w:p w14:paraId="20E76D64" w14:textId="77777777" w:rsidR="00C10E54" w:rsidRPr="00CF1287" w:rsidRDefault="00C10E54" w:rsidP="006131D6">
            <w:pPr>
              <w:pStyle w:val="ListParagraph"/>
              <w:numPr>
                <w:ilvl w:val="0"/>
                <w:numId w:val="6"/>
              </w:numPr>
              <w:spacing w:line="216" w:lineRule="auto"/>
              <w:rPr>
                <w:rFonts w:ascii="Calibri" w:hAnsi="Calibri" w:cs="Calibri"/>
                <w:sz w:val="20"/>
                <w:szCs w:val="20"/>
              </w:rPr>
            </w:pPr>
            <w:r w:rsidRPr="00CF1287">
              <w:rPr>
                <w:rFonts w:ascii="Calibri" w:hAnsi="Calibri" w:cs="Calibri"/>
                <w:sz w:val="20"/>
                <w:szCs w:val="20"/>
              </w:rPr>
              <w:t>Develop and set minimum specifications for imports.</w:t>
            </w:r>
            <w:r w:rsidRPr="00CF1287">
              <w:rPr>
                <w:rFonts w:ascii="Calibri" w:hAnsi="Calibri" w:cs="Calibri"/>
                <w:sz w:val="20"/>
                <w:szCs w:val="20"/>
              </w:rPr>
              <w:tab/>
            </w:r>
            <w:r w:rsidRPr="00CF1287">
              <w:rPr>
                <w:rFonts w:ascii="Calibri" w:hAnsi="Calibri" w:cs="Calibri"/>
                <w:sz w:val="20"/>
                <w:szCs w:val="20"/>
              </w:rPr>
              <w:tab/>
            </w:r>
          </w:p>
          <w:p w14:paraId="695C5A7C" w14:textId="77777777" w:rsidR="00C10E54" w:rsidRPr="00CF1287" w:rsidRDefault="00C10E54" w:rsidP="006131D6">
            <w:pPr>
              <w:pStyle w:val="ListParagraph"/>
              <w:numPr>
                <w:ilvl w:val="0"/>
                <w:numId w:val="6"/>
              </w:numPr>
              <w:spacing w:line="216" w:lineRule="auto"/>
              <w:rPr>
                <w:rFonts w:ascii="Calibri" w:hAnsi="Calibri" w:cs="Calibri"/>
                <w:sz w:val="20"/>
                <w:szCs w:val="20"/>
              </w:rPr>
            </w:pPr>
            <w:r w:rsidRPr="00CF1287">
              <w:rPr>
                <w:rFonts w:ascii="Calibri" w:hAnsi="Calibri" w:cs="Calibri"/>
                <w:sz w:val="20"/>
                <w:szCs w:val="20"/>
              </w:rPr>
              <w:t>Develop and deploy a monitoring and evaluation system.</w:t>
            </w:r>
            <w:r w:rsidRPr="00CF1287">
              <w:rPr>
                <w:rFonts w:ascii="Calibri" w:hAnsi="Calibri" w:cs="Calibri"/>
                <w:sz w:val="20"/>
                <w:szCs w:val="20"/>
              </w:rPr>
              <w:tab/>
            </w:r>
            <w:r w:rsidRPr="00CF1287">
              <w:rPr>
                <w:rFonts w:ascii="Calibri" w:hAnsi="Calibri" w:cs="Calibri"/>
                <w:sz w:val="20"/>
                <w:szCs w:val="20"/>
              </w:rPr>
              <w:tab/>
            </w:r>
          </w:p>
          <w:p w14:paraId="170839FD" w14:textId="77777777" w:rsidR="00C10E54" w:rsidRPr="00CF1287" w:rsidRDefault="00C10E54" w:rsidP="006131D6">
            <w:pPr>
              <w:pStyle w:val="ListParagraph"/>
              <w:numPr>
                <w:ilvl w:val="0"/>
                <w:numId w:val="6"/>
              </w:numPr>
              <w:spacing w:line="216" w:lineRule="auto"/>
              <w:rPr>
                <w:rFonts w:ascii="Calibri" w:hAnsi="Calibri" w:cs="Calibri"/>
                <w:sz w:val="20"/>
                <w:szCs w:val="20"/>
              </w:rPr>
            </w:pPr>
            <w:r w:rsidRPr="00CF1287">
              <w:rPr>
                <w:rFonts w:ascii="Calibri" w:hAnsi="Calibri" w:cs="Calibri"/>
                <w:sz w:val="20"/>
                <w:szCs w:val="20"/>
              </w:rPr>
              <w:t xml:space="preserve">As appropriate, introduce/amend the regulatory framework to provide for EVs, their charging, and other associated activities. </w:t>
            </w:r>
            <w:r w:rsidRPr="00CF1287">
              <w:rPr>
                <w:rFonts w:ascii="Calibri" w:hAnsi="Calibri" w:cs="Calibri"/>
                <w:sz w:val="20"/>
                <w:szCs w:val="20"/>
              </w:rPr>
              <w:tab/>
            </w:r>
            <w:r w:rsidRPr="00CF1287">
              <w:rPr>
                <w:rFonts w:ascii="Calibri" w:hAnsi="Calibri" w:cs="Calibri"/>
                <w:sz w:val="20"/>
                <w:szCs w:val="20"/>
              </w:rPr>
              <w:tab/>
            </w:r>
          </w:p>
          <w:p w14:paraId="31FF877A" w14:textId="2F51ED65" w:rsidR="00C455E7" w:rsidRPr="00CF1287" w:rsidRDefault="00C10E54" w:rsidP="00052BBB">
            <w:pPr>
              <w:pStyle w:val="ListParagraph"/>
              <w:numPr>
                <w:ilvl w:val="0"/>
                <w:numId w:val="6"/>
              </w:numPr>
              <w:spacing w:after="120" w:line="216" w:lineRule="auto"/>
              <w:ind w:left="714" w:hanging="357"/>
              <w:rPr>
                <w:rFonts w:ascii="Calibri" w:hAnsi="Calibri" w:cs="Calibri"/>
                <w:sz w:val="20"/>
                <w:szCs w:val="20"/>
              </w:rPr>
            </w:pPr>
            <w:r w:rsidRPr="00CF1287">
              <w:rPr>
                <w:rFonts w:ascii="Calibri" w:hAnsi="Calibri" w:cs="Calibri"/>
                <w:sz w:val="20"/>
                <w:szCs w:val="20"/>
              </w:rPr>
              <w:t>Maintain a watching brief on global EV-related developments.</w:t>
            </w:r>
          </w:p>
        </w:tc>
      </w:tr>
      <w:tr w:rsidR="00C10E54" w:rsidRPr="00FD2DBB" w14:paraId="6324A8D0" w14:textId="77777777" w:rsidTr="008325C9">
        <w:trPr>
          <w:tblCellSpacing w:w="11" w:type="dxa"/>
        </w:trPr>
        <w:tc>
          <w:tcPr>
            <w:tcW w:w="8972" w:type="dxa"/>
            <w:gridSpan w:val="3"/>
            <w:shd w:val="clear" w:color="auto" w:fill="BF8F00" w:themeFill="accent4" w:themeFillShade="BF"/>
          </w:tcPr>
          <w:p w14:paraId="358C51A3" w14:textId="77777777" w:rsidR="00C10E54" w:rsidRPr="00CF1287" w:rsidRDefault="00C10E54" w:rsidP="00C10E54">
            <w:pPr>
              <w:rPr>
                <w:rFonts w:ascii="Calibri" w:hAnsi="Calibri" w:cs="Calibri"/>
                <w:b/>
                <w:bCs/>
                <w:sz w:val="20"/>
                <w:szCs w:val="20"/>
              </w:rPr>
            </w:pPr>
            <w:r w:rsidRPr="00CF1287">
              <w:rPr>
                <w:rFonts w:ascii="Calibri" w:hAnsi="Calibri" w:cs="Calibri"/>
                <w:b/>
                <w:bCs/>
                <w:sz w:val="20"/>
                <w:szCs w:val="20"/>
              </w:rPr>
              <w:t>Standards and Guidelines:</w:t>
            </w:r>
          </w:p>
        </w:tc>
      </w:tr>
      <w:tr w:rsidR="00C10E54" w:rsidRPr="00FD2DBB" w14:paraId="1DCDDDC9" w14:textId="77777777" w:rsidTr="008325C9">
        <w:trPr>
          <w:trHeight w:val="2409"/>
          <w:tblCellSpacing w:w="11" w:type="dxa"/>
        </w:trPr>
        <w:tc>
          <w:tcPr>
            <w:tcW w:w="8972" w:type="dxa"/>
            <w:gridSpan w:val="3"/>
          </w:tcPr>
          <w:p w14:paraId="106D2229" w14:textId="77777777" w:rsidR="00C10E54" w:rsidRPr="00CF1287" w:rsidRDefault="00C10E54" w:rsidP="006131D6">
            <w:pPr>
              <w:pStyle w:val="ListParagraph"/>
              <w:numPr>
                <w:ilvl w:val="0"/>
                <w:numId w:val="7"/>
              </w:numPr>
              <w:spacing w:line="216" w:lineRule="auto"/>
              <w:ind w:left="714" w:hanging="357"/>
              <w:rPr>
                <w:rFonts w:ascii="Calibri" w:hAnsi="Calibri" w:cs="Calibri"/>
                <w:sz w:val="20"/>
                <w:szCs w:val="20"/>
              </w:rPr>
            </w:pPr>
            <w:r w:rsidRPr="00CF1287">
              <w:rPr>
                <w:rFonts w:ascii="Calibri" w:hAnsi="Calibri" w:cs="Calibri"/>
                <w:sz w:val="20"/>
                <w:szCs w:val="20"/>
              </w:rPr>
              <w:t>Develop and set minimum standards for vehicles at time of entry and at time of in-service fitness testing.</w:t>
            </w:r>
          </w:p>
          <w:p w14:paraId="45C43644" w14:textId="77777777" w:rsidR="00C10E54" w:rsidRPr="00CF1287" w:rsidRDefault="00C10E54" w:rsidP="006131D6">
            <w:pPr>
              <w:pStyle w:val="ListParagraph"/>
              <w:numPr>
                <w:ilvl w:val="0"/>
                <w:numId w:val="7"/>
              </w:numPr>
              <w:spacing w:line="216" w:lineRule="auto"/>
              <w:ind w:left="714" w:hanging="357"/>
              <w:rPr>
                <w:rFonts w:ascii="Calibri" w:hAnsi="Calibri" w:cs="Calibri"/>
                <w:sz w:val="20"/>
                <w:szCs w:val="20"/>
              </w:rPr>
            </w:pPr>
            <w:r w:rsidRPr="00CF1287">
              <w:rPr>
                <w:rFonts w:ascii="Calibri" w:hAnsi="Calibri" w:cs="Calibri"/>
                <w:sz w:val="20"/>
                <w:szCs w:val="20"/>
              </w:rPr>
              <w:t>Ensure appropriate standards are in place for the retirement of EVs.</w:t>
            </w:r>
          </w:p>
          <w:p w14:paraId="1362B176" w14:textId="77777777" w:rsidR="00C10E54" w:rsidRPr="00CF1287" w:rsidRDefault="00C10E54" w:rsidP="006131D6">
            <w:pPr>
              <w:pStyle w:val="ListParagraph"/>
              <w:numPr>
                <w:ilvl w:val="0"/>
                <w:numId w:val="7"/>
              </w:numPr>
              <w:spacing w:line="216" w:lineRule="auto"/>
              <w:ind w:left="714" w:hanging="357"/>
              <w:rPr>
                <w:rFonts w:ascii="Calibri" w:hAnsi="Calibri" w:cs="Calibri"/>
                <w:sz w:val="20"/>
                <w:szCs w:val="20"/>
              </w:rPr>
            </w:pPr>
            <w:r w:rsidRPr="00CF1287">
              <w:rPr>
                <w:rFonts w:ascii="Calibri" w:hAnsi="Calibri" w:cs="Calibri"/>
                <w:sz w:val="20"/>
                <w:szCs w:val="20"/>
              </w:rPr>
              <w:t>Set guidelines for charging</w:t>
            </w:r>
            <w:r w:rsidR="0008219A" w:rsidRPr="00CF1287">
              <w:rPr>
                <w:rFonts w:ascii="Calibri" w:hAnsi="Calibri" w:cs="Calibri"/>
                <w:sz w:val="20"/>
                <w:szCs w:val="20"/>
              </w:rPr>
              <w:t>,</w:t>
            </w:r>
            <w:r w:rsidRPr="00CF1287">
              <w:rPr>
                <w:rFonts w:ascii="Calibri" w:hAnsi="Calibri" w:cs="Calibri"/>
                <w:sz w:val="20"/>
                <w:szCs w:val="20"/>
              </w:rPr>
              <w:t xml:space="preserve"> including the specification of charging connectors</w:t>
            </w:r>
            <w:r w:rsidR="0008219A" w:rsidRPr="00CF1287">
              <w:rPr>
                <w:rFonts w:ascii="Calibri" w:hAnsi="Calibri" w:cs="Calibri"/>
                <w:sz w:val="20"/>
                <w:szCs w:val="20"/>
              </w:rPr>
              <w:t>.</w:t>
            </w:r>
          </w:p>
          <w:p w14:paraId="4C3EBEC7" w14:textId="77777777" w:rsidR="00C10E54" w:rsidRPr="00CF1287" w:rsidRDefault="00C10E54" w:rsidP="006131D6">
            <w:pPr>
              <w:pStyle w:val="ListParagraph"/>
              <w:numPr>
                <w:ilvl w:val="0"/>
                <w:numId w:val="7"/>
              </w:numPr>
              <w:spacing w:line="216" w:lineRule="auto"/>
              <w:ind w:left="714" w:hanging="357"/>
              <w:rPr>
                <w:rFonts w:ascii="Calibri" w:hAnsi="Calibri" w:cs="Calibri"/>
                <w:sz w:val="20"/>
                <w:szCs w:val="20"/>
              </w:rPr>
            </w:pPr>
            <w:r w:rsidRPr="00CF1287">
              <w:rPr>
                <w:rFonts w:ascii="Calibri" w:hAnsi="Calibri" w:cs="Calibri"/>
                <w:sz w:val="20"/>
                <w:szCs w:val="20"/>
              </w:rPr>
              <w:t>Require new buildings to be "EV-ready".</w:t>
            </w:r>
          </w:p>
          <w:p w14:paraId="1E29BA00" w14:textId="77777777" w:rsidR="00C10E54" w:rsidRPr="00CF1287" w:rsidRDefault="00C10E54" w:rsidP="006131D6">
            <w:pPr>
              <w:pStyle w:val="ListParagraph"/>
              <w:numPr>
                <w:ilvl w:val="0"/>
                <w:numId w:val="7"/>
              </w:numPr>
              <w:spacing w:line="216" w:lineRule="auto"/>
              <w:ind w:left="714" w:hanging="357"/>
              <w:rPr>
                <w:rFonts w:ascii="Calibri" w:hAnsi="Calibri" w:cs="Calibri"/>
                <w:sz w:val="20"/>
                <w:szCs w:val="20"/>
              </w:rPr>
            </w:pPr>
            <w:r w:rsidRPr="00CF1287">
              <w:rPr>
                <w:rFonts w:ascii="Calibri" w:hAnsi="Calibri" w:cs="Calibri"/>
                <w:sz w:val="20"/>
                <w:szCs w:val="20"/>
              </w:rPr>
              <w:t>Develop guidelines for the use of V2H and on-site man</w:t>
            </w:r>
            <w:r w:rsidR="000951D1" w:rsidRPr="00CF1287">
              <w:rPr>
                <w:rFonts w:ascii="Calibri" w:hAnsi="Calibri" w:cs="Calibri"/>
                <w:sz w:val="20"/>
                <w:szCs w:val="20"/>
              </w:rPr>
              <w:t>a</w:t>
            </w:r>
            <w:r w:rsidRPr="00CF1287">
              <w:rPr>
                <w:rFonts w:ascii="Calibri" w:hAnsi="Calibri" w:cs="Calibri"/>
                <w:sz w:val="20"/>
                <w:szCs w:val="20"/>
              </w:rPr>
              <w:t>ged charging.</w:t>
            </w:r>
          </w:p>
          <w:p w14:paraId="41D16672" w14:textId="77777777" w:rsidR="00C10E54" w:rsidRPr="00CF1287" w:rsidRDefault="00C10E54" w:rsidP="006131D6">
            <w:pPr>
              <w:pStyle w:val="ListParagraph"/>
              <w:numPr>
                <w:ilvl w:val="0"/>
                <w:numId w:val="7"/>
              </w:numPr>
              <w:spacing w:line="216" w:lineRule="auto"/>
              <w:ind w:left="714" w:hanging="357"/>
              <w:rPr>
                <w:rFonts w:ascii="Calibri" w:hAnsi="Calibri" w:cs="Calibri"/>
                <w:sz w:val="20"/>
                <w:szCs w:val="20"/>
              </w:rPr>
            </w:pPr>
            <w:r w:rsidRPr="00CF1287">
              <w:rPr>
                <w:rFonts w:ascii="Calibri" w:hAnsi="Calibri" w:cs="Calibri"/>
                <w:sz w:val="20"/>
                <w:szCs w:val="20"/>
              </w:rPr>
              <w:t xml:space="preserve">Develop (at least voluntary) standards for low-voltage vehicles, the charging of them, and the use of "mobility batteries" for local power supply circuits. </w:t>
            </w:r>
          </w:p>
          <w:p w14:paraId="1953F217" w14:textId="77777777" w:rsidR="00C10E54" w:rsidRPr="00CF1287" w:rsidRDefault="00C10E54" w:rsidP="006131D6">
            <w:pPr>
              <w:pStyle w:val="ListParagraph"/>
              <w:numPr>
                <w:ilvl w:val="0"/>
                <w:numId w:val="7"/>
              </w:numPr>
              <w:spacing w:line="216" w:lineRule="auto"/>
              <w:ind w:left="714" w:hanging="357"/>
              <w:rPr>
                <w:rFonts w:ascii="Calibri" w:hAnsi="Calibri" w:cs="Calibri"/>
                <w:sz w:val="20"/>
                <w:szCs w:val="20"/>
              </w:rPr>
            </w:pPr>
            <w:r w:rsidRPr="00CF1287">
              <w:rPr>
                <w:rFonts w:ascii="Calibri" w:hAnsi="Calibri" w:cs="Calibri"/>
                <w:sz w:val="20"/>
                <w:szCs w:val="20"/>
              </w:rPr>
              <w:t>Develop and introduce technical courses.</w:t>
            </w:r>
          </w:p>
          <w:p w14:paraId="447B2B8E" w14:textId="77777777" w:rsidR="00C10E54" w:rsidRPr="00CF1287" w:rsidRDefault="00C10E54" w:rsidP="006131D6">
            <w:pPr>
              <w:pStyle w:val="ListParagraph"/>
              <w:numPr>
                <w:ilvl w:val="0"/>
                <w:numId w:val="7"/>
              </w:numPr>
              <w:spacing w:line="216" w:lineRule="auto"/>
              <w:ind w:left="714" w:hanging="357"/>
              <w:rPr>
                <w:rFonts w:ascii="Calibri" w:hAnsi="Calibri" w:cs="Calibri"/>
                <w:sz w:val="20"/>
                <w:szCs w:val="20"/>
              </w:rPr>
            </w:pPr>
            <w:r w:rsidRPr="00CF1287">
              <w:rPr>
                <w:rFonts w:ascii="Calibri" w:hAnsi="Calibri" w:cs="Calibri"/>
                <w:sz w:val="20"/>
                <w:szCs w:val="20"/>
              </w:rPr>
              <w:t>Develop guidelines for the use of new e-mobility options targeting safety.</w:t>
            </w:r>
          </w:p>
          <w:p w14:paraId="2E376856" w14:textId="45711E67" w:rsidR="00C455E7" w:rsidRPr="00CF1287" w:rsidRDefault="00C10E54" w:rsidP="00052BBB">
            <w:pPr>
              <w:pStyle w:val="ListParagraph"/>
              <w:numPr>
                <w:ilvl w:val="0"/>
                <w:numId w:val="7"/>
              </w:numPr>
              <w:spacing w:line="216" w:lineRule="auto"/>
              <w:ind w:left="714" w:hanging="357"/>
              <w:rPr>
                <w:rFonts w:ascii="Calibri" w:hAnsi="Calibri" w:cs="Calibri"/>
                <w:sz w:val="20"/>
                <w:szCs w:val="20"/>
              </w:rPr>
            </w:pPr>
            <w:r w:rsidRPr="00CF1287">
              <w:rPr>
                <w:rFonts w:ascii="Calibri" w:hAnsi="Calibri" w:cs="Calibri"/>
                <w:sz w:val="20"/>
                <w:szCs w:val="20"/>
              </w:rPr>
              <w:t>Provide buyer and user guides on low-voltage e-mobility options.</w:t>
            </w:r>
          </w:p>
          <w:p w14:paraId="4FD447A8" w14:textId="77777777" w:rsidR="00DE4981" w:rsidRPr="00CF1287" w:rsidRDefault="00DE4981" w:rsidP="00FF7D24">
            <w:pPr>
              <w:pStyle w:val="ListParagraph"/>
              <w:spacing w:line="216" w:lineRule="auto"/>
              <w:ind w:left="714"/>
              <w:rPr>
                <w:rFonts w:ascii="Calibri" w:hAnsi="Calibri" w:cs="Calibri"/>
                <w:sz w:val="20"/>
                <w:szCs w:val="20"/>
              </w:rPr>
            </w:pPr>
          </w:p>
        </w:tc>
      </w:tr>
      <w:tr w:rsidR="00C10E54" w:rsidRPr="00FD2DBB" w14:paraId="325B5D32" w14:textId="77777777" w:rsidTr="008325C9">
        <w:tblPrEx>
          <w:tblCellSpacing w:w="0" w:type="nil"/>
        </w:tblPrEx>
        <w:trPr>
          <w:gridBefore w:val="1"/>
          <w:gridAfter w:val="1"/>
          <w:wBefore w:w="5" w:type="dxa"/>
          <w:wAfter w:w="5" w:type="dxa"/>
        </w:trPr>
        <w:tc>
          <w:tcPr>
            <w:tcW w:w="8918" w:type="dxa"/>
            <w:shd w:val="clear" w:color="auto" w:fill="BF8F00" w:themeFill="accent4" w:themeFillShade="BF"/>
          </w:tcPr>
          <w:p w14:paraId="1E7CBC95" w14:textId="77777777" w:rsidR="00C10E54" w:rsidRPr="00CF1287" w:rsidRDefault="00C10E54" w:rsidP="00C10E54">
            <w:pPr>
              <w:rPr>
                <w:rFonts w:ascii="Calibri" w:hAnsi="Calibri" w:cs="Calibri"/>
                <w:b/>
                <w:bCs/>
                <w:sz w:val="20"/>
                <w:szCs w:val="20"/>
              </w:rPr>
            </w:pPr>
            <w:r w:rsidRPr="00CF1287">
              <w:rPr>
                <w:rFonts w:ascii="Calibri" w:hAnsi="Calibri" w:cs="Calibri"/>
                <w:b/>
                <w:bCs/>
                <w:sz w:val="20"/>
                <w:szCs w:val="20"/>
              </w:rPr>
              <w:t>Awareness and Promotion:</w:t>
            </w:r>
          </w:p>
        </w:tc>
      </w:tr>
      <w:tr w:rsidR="00C10E54" w:rsidRPr="00FD2DBB" w14:paraId="0A38E433" w14:textId="77777777" w:rsidTr="008325C9">
        <w:tblPrEx>
          <w:tblCellSpacing w:w="0" w:type="nil"/>
        </w:tblPrEx>
        <w:trPr>
          <w:gridBefore w:val="1"/>
          <w:gridAfter w:val="1"/>
          <w:wBefore w:w="5" w:type="dxa"/>
          <w:wAfter w:w="5" w:type="dxa"/>
        </w:trPr>
        <w:tc>
          <w:tcPr>
            <w:tcW w:w="8918" w:type="dxa"/>
          </w:tcPr>
          <w:p w14:paraId="7613226C" w14:textId="77777777" w:rsidR="00C10E54" w:rsidRPr="00CF1287" w:rsidRDefault="00C10E54" w:rsidP="006131D6">
            <w:pPr>
              <w:pStyle w:val="ListParagraph"/>
              <w:numPr>
                <w:ilvl w:val="0"/>
                <w:numId w:val="8"/>
              </w:numPr>
              <w:spacing w:line="216" w:lineRule="auto"/>
              <w:ind w:hanging="357"/>
              <w:rPr>
                <w:rFonts w:ascii="Calibri" w:hAnsi="Calibri" w:cs="Calibri"/>
                <w:sz w:val="20"/>
                <w:szCs w:val="20"/>
              </w:rPr>
            </w:pPr>
            <w:r w:rsidRPr="00CF1287">
              <w:rPr>
                <w:rFonts w:ascii="Calibri" w:hAnsi="Calibri" w:cs="Calibri"/>
                <w:sz w:val="20"/>
                <w:szCs w:val="20"/>
              </w:rPr>
              <w:t>Undertake social marketing research.</w:t>
            </w:r>
          </w:p>
          <w:p w14:paraId="571C9294" w14:textId="77777777" w:rsidR="00C10E54" w:rsidRPr="00CF1287" w:rsidRDefault="00C10E54" w:rsidP="006131D6">
            <w:pPr>
              <w:pStyle w:val="ListParagraph"/>
              <w:numPr>
                <w:ilvl w:val="0"/>
                <w:numId w:val="8"/>
              </w:numPr>
              <w:spacing w:line="216" w:lineRule="auto"/>
              <w:ind w:hanging="357"/>
              <w:rPr>
                <w:rFonts w:ascii="Calibri" w:hAnsi="Calibri" w:cs="Calibri"/>
                <w:sz w:val="20"/>
                <w:szCs w:val="20"/>
              </w:rPr>
            </w:pPr>
            <w:r w:rsidRPr="00CF1287">
              <w:rPr>
                <w:rFonts w:ascii="Calibri" w:hAnsi="Calibri" w:cs="Calibri"/>
                <w:sz w:val="20"/>
                <w:szCs w:val="20"/>
              </w:rPr>
              <w:t>Develop and deliver an awareness, information and promotion campaign supporting the uptake of EVs.</w:t>
            </w:r>
          </w:p>
          <w:p w14:paraId="7E300FA7" w14:textId="77777777" w:rsidR="00C10E54" w:rsidRPr="00CF1287" w:rsidRDefault="00C10E54" w:rsidP="006131D6">
            <w:pPr>
              <w:pStyle w:val="ListParagraph"/>
              <w:numPr>
                <w:ilvl w:val="0"/>
                <w:numId w:val="8"/>
              </w:numPr>
              <w:spacing w:line="216" w:lineRule="auto"/>
              <w:ind w:hanging="357"/>
              <w:rPr>
                <w:rFonts w:ascii="Calibri" w:hAnsi="Calibri" w:cs="Calibri"/>
                <w:sz w:val="20"/>
                <w:szCs w:val="20"/>
              </w:rPr>
            </w:pPr>
            <w:r w:rsidRPr="00CF1287">
              <w:rPr>
                <w:rFonts w:ascii="Calibri" w:hAnsi="Calibri" w:cs="Calibri"/>
                <w:sz w:val="20"/>
                <w:szCs w:val="20"/>
              </w:rPr>
              <w:t>Develop, publish and promote guidelines on:</w:t>
            </w:r>
          </w:p>
          <w:p w14:paraId="14D57C59" w14:textId="36A76326" w:rsidR="00C10E54" w:rsidRPr="00CF1287" w:rsidRDefault="00C10E54" w:rsidP="006131D6">
            <w:pPr>
              <w:pStyle w:val="ListParagraph"/>
              <w:numPr>
                <w:ilvl w:val="1"/>
                <w:numId w:val="8"/>
              </w:numPr>
              <w:spacing w:line="216" w:lineRule="auto"/>
              <w:ind w:hanging="357"/>
              <w:rPr>
                <w:rFonts w:ascii="Calibri" w:hAnsi="Calibri" w:cs="Calibri"/>
                <w:sz w:val="20"/>
                <w:szCs w:val="20"/>
              </w:rPr>
            </w:pPr>
            <w:r w:rsidRPr="00CF1287">
              <w:rPr>
                <w:rFonts w:ascii="Calibri" w:hAnsi="Calibri" w:cs="Calibri"/>
                <w:sz w:val="20"/>
                <w:szCs w:val="20"/>
              </w:rPr>
              <w:t>EV purchase (micro-mobility through 4-wheelers)</w:t>
            </w:r>
            <w:r w:rsidR="009A1F8A" w:rsidRPr="00CF1287">
              <w:rPr>
                <w:rFonts w:ascii="Calibri" w:hAnsi="Calibri" w:cs="Calibri"/>
                <w:sz w:val="20"/>
                <w:szCs w:val="20"/>
              </w:rPr>
              <w:t>;</w:t>
            </w:r>
          </w:p>
          <w:p w14:paraId="5D100D6A" w14:textId="4E937BAD" w:rsidR="00C10E54" w:rsidRPr="00CF1287" w:rsidRDefault="00C10E54" w:rsidP="006131D6">
            <w:pPr>
              <w:pStyle w:val="ListParagraph"/>
              <w:numPr>
                <w:ilvl w:val="1"/>
                <w:numId w:val="8"/>
              </w:numPr>
              <w:spacing w:line="216" w:lineRule="auto"/>
              <w:ind w:hanging="357"/>
              <w:rPr>
                <w:rFonts w:ascii="Calibri" w:hAnsi="Calibri" w:cs="Calibri"/>
                <w:sz w:val="20"/>
                <w:szCs w:val="20"/>
              </w:rPr>
            </w:pPr>
            <w:r w:rsidRPr="00CF1287">
              <w:rPr>
                <w:rFonts w:ascii="Calibri" w:hAnsi="Calibri" w:cs="Calibri"/>
                <w:sz w:val="20"/>
                <w:szCs w:val="20"/>
              </w:rPr>
              <w:t>Charging (micro-mobility through 4-wheelers)</w:t>
            </w:r>
            <w:r w:rsidR="009A1F8A" w:rsidRPr="00CF1287">
              <w:rPr>
                <w:rFonts w:ascii="Calibri" w:hAnsi="Calibri" w:cs="Calibri"/>
                <w:sz w:val="20"/>
                <w:szCs w:val="20"/>
              </w:rPr>
              <w:t>;</w:t>
            </w:r>
          </w:p>
          <w:p w14:paraId="4BDF865B" w14:textId="0AFC71A5" w:rsidR="00C10E54" w:rsidRPr="00CF1287" w:rsidRDefault="00C10E54" w:rsidP="006131D6">
            <w:pPr>
              <w:pStyle w:val="ListParagraph"/>
              <w:numPr>
                <w:ilvl w:val="1"/>
                <w:numId w:val="8"/>
              </w:numPr>
              <w:spacing w:line="216" w:lineRule="auto"/>
              <w:ind w:hanging="357"/>
              <w:rPr>
                <w:rFonts w:ascii="Calibri" w:hAnsi="Calibri" w:cs="Calibri"/>
                <w:sz w:val="20"/>
                <w:szCs w:val="20"/>
              </w:rPr>
            </w:pPr>
            <w:r w:rsidRPr="00CF1287">
              <w:rPr>
                <w:rFonts w:ascii="Calibri" w:hAnsi="Calibri" w:cs="Calibri"/>
                <w:sz w:val="20"/>
                <w:szCs w:val="20"/>
              </w:rPr>
              <w:t>Servicing and Support (micro-mobility through 4-wheelers)</w:t>
            </w:r>
            <w:r w:rsidR="009A1F8A" w:rsidRPr="00CF1287">
              <w:rPr>
                <w:rFonts w:ascii="Calibri" w:hAnsi="Calibri" w:cs="Calibri"/>
                <w:sz w:val="20"/>
                <w:szCs w:val="20"/>
              </w:rPr>
              <w:t>.</w:t>
            </w:r>
          </w:p>
          <w:p w14:paraId="59322BA5" w14:textId="77777777" w:rsidR="00C10E54" w:rsidRPr="00CF1287" w:rsidRDefault="00C10E54" w:rsidP="006131D6">
            <w:pPr>
              <w:pStyle w:val="ListParagraph"/>
              <w:numPr>
                <w:ilvl w:val="0"/>
                <w:numId w:val="8"/>
              </w:numPr>
              <w:spacing w:line="216" w:lineRule="auto"/>
              <w:ind w:hanging="357"/>
              <w:rPr>
                <w:rFonts w:ascii="Calibri" w:hAnsi="Calibri" w:cs="Calibri"/>
                <w:sz w:val="20"/>
                <w:szCs w:val="20"/>
              </w:rPr>
            </w:pPr>
            <w:r w:rsidRPr="00CF1287">
              <w:rPr>
                <w:rFonts w:ascii="Calibri" w:hAnsi="Calibri" w:cs="Calibri"/>
                <w:sz w:val="20"/>
                <w:szCs w:val="20"/>
              </w:rPr>
              <w:t>Collate and distribute global and PICT EV information.</w:t>
            </w:r>
          </w:p>
          <w:p w14:paraId="74C149EE" w14:textId="49A0DB2D" w:rsidR="00D05A7E" w:rsidRPr="00CF1287" w:rsidRDefault="00D05A7E" w:rsidP="006131D6">
            <w:pPr>
              <w:pStyle w:val="ListParagraph"/>
              <w:numPr>
                <w:ilvl w:val="0"/>
                <w:numId w:val="8"/>
              </w:numPr>
              <w:spacing w:line="216" w:lineRule="auto"/>
              <w:ind w:hanging="357"/>
              <w:rPr>
                <w:rFonts w:ascii="Calibri" w:hAnsi="Calibri" w:cs="Calibri"/>
                <w:sz w:val="20"/>
                <w:szCs w:val="20"/>
              </w:rPr>
            </w:pPr>
            <w:r w:rsidRPr="00CF1287">
              <w:rPr>
                <w:rFonts w:ascii="Calibri" w:hAnsi="Calibri" w:cs="Calibri"/>
                <w:sz w:val="20"/>
                <w:szCs w:val="20"/>
              </w:rPr>
              <w:t>Ensure that first responders are aware of correct procedures.</w:t>
            </w:r>
          </w:p>
          <w:p w14:paraId="363E2C5E" w14:textId="77777777" w:rsidR="00DE4981" w:rsidRPr="00CF1287" w:rsidRDefault="00DE4981" w:rsidP="00CF1287">
            <w:pPr>
              <w:spacing w:line="216" w:lineRule="auto"/>
              <w:rPr>
                <w:rFonts w:ascii="Calibri" w:hAnsi="Calibri" w:cs="Calibri"/>
                <w:sz w:val="20"/>
                <w:szCs w:val="20"/>
              </w:rPr>
            </w:pPr>
          </w:p>
        </w:tc>
      </w:tr>
      <w:tr w:rsidR="00C10E54" w:rsidRPr="00FD2DBB" w14:paraId="18E79AE4" w14:textId="77777777" w:rsidTr="008325C9">
        <w:tblPrEx>
          <w:tblCellSpacing w:w="0" w:type="nil"/>
        </w:tblPrEx>
        <w:trPr>
          <w:gridBefore w:val="1"/>
          <w:gridAfter w:val="1"/>
          <w:wBefore w:w="5" w:type="dxa"/>
          <w:wAfter w:w="5" w:type="dxa"/>
        </w:trPr>
        <w:tc>
          <w:tcPr>
            <w:tcW w:w="8918" w:type="dxa"/>
            <w:shd w:val="clear" w:color="auto" w:fill="BF8F00" w:themeFill="accent4" w:themeFillShade="BF"/>
          </w:tcPr>
          <w:p w14:paraId="43972808" w14:textId="77777777" w:rsidR="00C10E54" w:rsidRPr="00CF1287" w:rsidRDefault="00C10E54" w:rsidP="00C10E54">
            <w:pPr>
              <w:rPr>
                <w:rFonts w:ascii="Calibri" w:hAnsi="Calibri" w:cs="Calibri"/>
                <w:b/>
                <w:bCs/>
                <w:sz w:val="20"/>
                <w:szCs w:val="20"/>
              </w:rPr>
            </w:pPr>
            <w:r w:rsidRPr="00CF1287">
              <w:rPr>
                <w:rFonts w:ascii="Calibri" w:hAnsi="Calibri" w:cs="Calibri"/>
                <w:b/>
                <w:bCs/>
                <w:sz w:val="20"/>
                <w:szCs w:val="20"/>
              </w:rPr>
              <w:t>Demonstration and Upscale:</w:t>
            </w:r>
          </w:p>
        </w:tc>
      </w:tr>
      <w:tr w:rsidR="00C10E54" w:rsidRPr="00FD2DBB" w14:paraId="576F18C3" w14:textId="77777777" w:rsidTr="008325C9">
        <w:tblPrEx>
          <w:tblCellSpacing w:w="0" w:type="nil"/>
        </w:tblPrEx>
        <w:trPr>
          <w:gridBefore w:val="1"/>
          <w:gridAfter w:val="1"/>
          <w:wBefore w:w="5" w:type="dxa"/>
          <w:wAfter w:w="5" w:type="dxa"/>
        </w:trPr>
        <w:tc>
          <w:tcPr>
            <w:tcW w:w="8918" w:type="dxa"/>
          </w:tcPr>
          <w:p w14:paraId="082DEA75" w14:textId="77777777" w:rsidR="00C10E54" w:rsidRPr="00CF1287" w:rsidRDefault="00C10E54" w:rsidP="006131D6">
            <w:pPr>
              <w:pStyle w:val="ListParagraph"/>
              <w:numPr>
                <w:ilvl w:val="0"/>
                <w:numId w:val="9"/>
              </w:numPr>
              <w:spacing w:line="216" w:lineRule="auto"/>
              <w:ind w:left="714" w:hanging="357"/>
              <w:rPr>
                <w:rFonts w:ascii="Calibri" w:hAnsi="Calibri" w:cs="Calibri"/>
                <w:sz w:val="20"/>
                <w:szCs w:val="20"/>
              </w:rPr>
            </w:pPr>
            <w:r w:rsidRPr="00CF1287">
              <w:rPr>
                <w:rFonts w:ascii="Calibri" w:hAnsi="Calibri" w:cs="Calibri"/>
                <w:sz w:val="20"/>
                <w:szCs w:val="20"/>
              </w:rPr>
              <w:t xml:space="preserve">Demonstrate government leadership through purchase of appropriate EVs. </w:t>
            </w:r>
          </w:p>
          <w:p w14:paraId="648844DF" w14:textId="77777777" w:rsidR="00C10E54" w:rsidRPr="00CF1287" w:rsidRDefault="00C10E54" w:rsidP="006131D6">
            <w:pPr>
              <w:pStyle w:val="ListParagraph"/>
              <w:numPr>
                <w:ilvl w:val="0"/>
                <w:numId w:val="9"/>
              </w:numPr>
              <w:spacing w:line="216" w:lineRule="auto"/>
              <w:ind w:left="714" w:hanging="357"/>
              <w:rPr>
                <w:rFonts w:ascii="Calibri" w:hAnsi="Calibri" w:cs="Calibri"/>
                <w:sz w:val="20"/>
                <w:szCs w:val="20"/>
              </w:rPr>
            </w:pPr>
            <w:r w:rsidRPr="00CF1287">
              <w:rPr>
                <w:rFonts w:ascii="Calibri" w:hAnsi="Calibri" w:cs="Calibri"/>
                <w:sz w:val="20"/>
                <w:szCs w:val="20"/>
              </w:rPr>
              <w:t>Consider supporting electric bus demonstrations. Consider supporting the demonstration of other non-passenger car EV projects if there is a good case for them.</w:t>
            </w:r>
          </w:p>
          <w:p w14:paraId="5AC70BF5" w14:textId="77777777" w:rsidR="00C10E54" w:rsidRPr="00CF1287" w:rsidRDefault="00C10E54" w:rsidP="006131D6">
            <w:pPr>
              <w:pStyle w:val="ListParagraph"/>
              <w:numPr>
                <w:ilvl w:val="0"/>
                <w:numId w:val="9"/>
              </w:numPr>
              <w:spacing w:line="216" w:lineRule="auto"/>
              <w:ind w:left="714" w:hanging="357"/>
              <w:rPr>
                <w:rFonts w:ascii="Calibri" w:hAnsi="Calibri" w:cs="Calibri"/>
                <w:sz w:val="20"/>
                <w:szCs w:val="20"/>
              </w:rPr>
            </w:pPr>
            <w:r w:rsidRPr="00CF1287">
              <w:rPr>
                <w:rFonts w:ascii="Calibri" w:hAnsi="Calibri" w:cs="Calibri"/>
                <w:sz w:val="20"/>
                <w:szCs w:val="20"/>
              </w:rPr>
              <w:t xml:space="preserve">Consider methods to share heavy EV technical support capability across fleets and PICTs.  </w:t>
            </w:r>
          </w:p>
          <w:p w14:paraId="212293E4" w14:textId="77777777" w:rsidR="00C10E54" w:rsidRPr="00CF1287" w:rsidRDefault="00C10E54" w:rsidP="006131D6">
            <w:pPr>
              <w:pStyle w:val="ListParagraph"/>
              <w:numPr>
                <w:ilvl w:val="0"/>
                <w:numId w:val="9"/>
              </w:numPr>
              <w:spacing w:line="216" w:lineRule="auto"/>
              <w:ind w:left="714" w:hanging="357"/>
              <w:rPr>
                <w:rFonts w:ascii="Calibri" w:hAnsi="Calibri" w:cs="Calibri"/>
                <w:sz w:val="20"/>
                <w:szCs w:val="20"/>
              </w:rPr>
            </w:pPr>
            <w:r w:rsidRPr="00CF1287">
              <w:rPr>
                <w:rFonts w:ascii="Calibri" w:hAnsi="Calibri" w:cs="Calibri"/>
                <w:sz w:val="20"/>
                <w:szCs w:val="20"/>
              </w:rPr>
              <w:t xml:space="preserve">Consider opportunities for the electrification of small marine vessels. </w:t>
            </w:r>
          </w:p>
          <w:p w14:paraId="46905C28" w14:textId="77777777" w:rsidR="00C10E54" w:rsidRPr="00CF1287" w:rsidRDefault="00C10E54" w:rsidP="006131D6">
            <w:pPr>
              <w:pStyle w:val="ListParagraph"/>
              <w:numPr>
                <w:ilvl w:val="0"/>
                <w:numId w:val="9"/>
              </w:numPr>
              <w:spacing w:line="216" w:lineRule="auto"/>
              <w:ind w:left="714" w:hanging="357"/>
              <w:rPr>
                <w:rFonts w:ascii="Calibri" w:hAnsi="Calibri" w:cs="Calibri"/>
                <w:sz w:val="20"/>
                <w:szCs w:val="20"/>
              </w:rPr>
            </w:pPr>
            <w:r w:rsidRPr="00CF1287">
              <w:rPr>
                <w:rFonts w:ascii="Calibri" w:hAnsi="Calibri" w:cs="Calibri"/>
                <w:sz w:val="20"/>
                <w:szCs w:val="20"/>
              </w:rPr>
              <w:t>Facilitate or co-invest in public charging infrastructure.</w:t>
            </w:r>
          </w:p>
          <w:p w14:paraId="2B2C4B91" w14:textId="77777777" w:rsidR="00C10E54" w:rsidRPr="00CF1287" w:rsidRDefault="00C10E54" w:rsidP="006131D6">
            <w:pPr>
              <w:pStyle w:val="ListParagraph"/>
              <w:numPr>
                <w:ilvl w:val="0"/>
                <w:numId w:val="9"/>
              </w:numPr>
              <w:spacing w:line="216" w:lineRule="auto"/>
              <w:ind w:left="714" w:hanging="357"/>
              <w:rPr>
                <w:rFonts w:ascii="Calibri" w:hAnsi="Calibri" w:cs="Calibri"/>
                <w:sz w:val="20"/>
                <w:szCs w:val="20"/>
              </w:rPr>
            </w:pPr>
            <w:r w:rsidRPr="00CF1287">
              <w:rPr>
                <w:rFonts w:ascii="Calibri" w:hAnsi="Calibri" w:cs="Calibri"/>
                <w:sz w:val="20"/>
                <w:szCs w:val="20"/>
              </w:rPr>
              <w:t>Provide facilities in support of micro through large e-mobility options, beginning with facilities at public offices.</w:t>
            </w:r>
          </w:p>
          <w:p w14:paraId="5D5BB5C4" w14:textId="77777777" w:rsidR="00C10E54" w:rsidRPr="00CF1287" w:rsidRDefault="00C10E54" w:rsidP="006131D6">
            <w:pPr>
              <w:pStyle w:val="ListParagraph"/>
              <w:numPr>
                <w:ilvl w:val="0"/>
                <w:numId w:val="9"/>
              </w:numPr>
              <w:spacing w:line="216" w:lineRule="auto"/>
              <w:ind w:left="714" w:hanging="357"/>
              <w:rPr>
                <w:rFonts w:ascii="Calibri" w:hAnsi="Calibri" w:cs="Calibri"/>
                <w:sz w:val="20"/>
                <w:szCs w:val="20"/>
              </w:rPr>
            </w:pPr>
            <w:r w:rsidRPr="00CF1287">
              <w:rPr>
                <w:rFonts w:ascii="Calibri" w:hAnsi="Calibri" w:cs="Calibri"/>
                <w:sz w:val="20"/>
                <w:szCs w:val="20"/>
              </w:rPr>
              <w:t>Support inspection of charging cables, particularly those supplied with used imports.</w:t>
            </w:r>
          </w:p>
          <w:p w14:paraId="225913F8" w14:textId="77777777" w:rsidR="00C10E54" w:rsidRPr="00CF1287" w:rsidRDefault="00C10E54" w:rsidP="006131D6">
            <w:pPr>
              <w:pStyle w:val="ListParagraph"/>
              <w:numPr>
                <w:ilvl w:val="0"/>
                <w:numId w:val="9"/>
              </w:numPr>
              <w:spacing w:line="216" w:lineRule="auto"/>
              <w:ind w:left="714" w:hanging="357"/>
              <w:rPr>
                <w:rFonts w:ascii="Calibri" w:hAnsi="Calibri" w:cs="Calibri"/>
                <w:sz w:val="20"/>
                <w:szCs w:val="20"/>
              </w:rPr>
            </w:pPr>
            <w:r w:rsidRPr="00CF1287">
              <w:rPr>
                <w:rFonts w:ascii="Calibri" w:hAnsi="Calibri" w:cs="Calibri"/>
                <w:sz w:val="20"/>
                <w:szCs w:val="20"/>
              </w:rPr>
              <w:t>Support inspection of existing electricity supply circuits that will be used for EV charging.</w:t>
            </w:r>
          </w:p>
          <w:p w14:paraId="4E5FDCEC" w14:textId="77777777" w:rsidR="00C10E54" w:rsidRPr="00CF1287" w:rsidRDefault="00C10E54" w:rsidP="006131D6">
            <w:pPr>
              <w:pStyle w:val="ListParagraph"/>
              <w:numPr>
                <w:ilvl w:val="0"/>
                <w:numId w:val="9"/>
              </w:numPr>
              <w:spacing w:line="216" w:lineRule="auto"/>
              <w:ind w:left="714" w:hanging="357"/>
              <w:rPr>
                <w:rFonts w:ascii="Calibri" w:hAnsi="Calibri" w:cs="Calibri"/>
                <w:sz w:val="20"/>
                <w:szCs w:val="20"/>
              </w:rPr>
            </w:pPr>
            <w:r w:rsidRPr="00CF1287">
              <w:rPr>
                <w:rFonts w:ascii="Calibri" w:hAnsi="Calibri" w:cs="Calibri"/>
                <w:sz w:val="20"/>
                <w:szCs w:val="20"/>
              </w:rPr>
              <w:t>Support the demonstration of V2H and on-site managed charging. Show leadership by deploying these options for some government vehicles.</w:t>
            </w:r>
          </w:p>
          <w:p w14:paraId="4EAB1CAE" w14:textId="77777777" w:rsidR="00C10E54" w:rsidRPr="00CF1287" w:rsidRDefault="00C10E54" w:rsidP="006131D6">
            <w:pPr>
              <w:pStyle w:val="ListParagraph"/>
              <w:numPr>
                <w:ilvl w:val="0"/>
                <w:numId w:val="9"/>
              </w:numPr>
              <w:spacing w:line="216" w:lineRule="auto"/>
              <w:ind w:left="714" w:hanging="357"/>
              <w:rPr>
                <w:rFonts w:ascii="Calibri" w:hAnsi="Calibri" w:cs="Calibri"/>
                <w:sz w:val="20"/>
                <w:szCs w:val="20"/>
              </w:rPr>
            </w:pPr>
            <w:r w:rsidRPr="00CF1287">
              <w:rPr>
                <w:rFonts w:ascii="Calibri" w:hAnsi="Calibri" w:cs="Calibri"/>
                <w:sz w:val="20"/>
                <w:szCs w:val="20"/>
              </w:rPr>
              <w:t>Develop EV service industry and encourage retention of capability and capacity.</w:t>
            </w:r>
          </w:p>
          <w:p w14:paraId="15781BFA" w14:textId="77777777" w:rsidR="00C10E54" w:rsidRPr="00CF1287" w:rsidRDefault="00C10E54" w:rsidP="006131D6">
            <w:pPr>
              <w:pStyle w:val="ListParagraph"/>
              <w:numPr>
                <w:ilvl w:val="0"/>
                <w:numId w:val="9"/>
              </w:numPr>
              <w:spacing w:line="216" w:lineRule="auto"/>
              <w:ind w:left="714" w:hanging="357"/>
              <w:rPr>
                <w:rFonts w:ascii="Calibri" w:hAnsi="Calibri" w:cs="Calibri"/>
                <w:sz w:val="20"/>
                <w:szCs w:val="20"/>
              </w:rPr>
            </w:pPr>
            <w:r w:rsidRPr="00CF1287">
              <w:rPr>
                <w:rFonts w:ascii="Calibri" w:hAnsi="Calibri" w:cs="Calibri"/>
                <w:sz w:val="20"/>
                <w:szCs w:val="20"/>
              </w:rPr>
              <w:t xml:space="preserve">Develop and introduce a system that encourages the industry to adopt quality product and provide quality services.  </w:t>
            </w:r>
          </w:p>
          <w:p w14:paraId="36E950DC" w14:textId="77777777" w:rsidR="00DE4981" w:rsidRPr="00CF1287" w:rsidRDefault="00C10E54" w:rsidP="00F35A64">
            <w:pPr>
              <w:pStyle w:val="ListParagraph"/>
              <w:numPr>
                <w:ilvl w:val="0"/>
                <w:numId w:val="9"/>
              </w:numPr>
              <w:spacing w:line="216" w:lineRule="auto"/>
              <w:ind w:left="714" w:hanging="357"/>
              <w:rPr>
                <w:rFonts w:ascii="Calibri" w:hAnsi="Calibri" w:cs="Calibri"/>
                <w:sz w:val="20"/>
                <w:szCs w:val="20"/>
              </w:rPr>
            </w:pPr>
            <w:r w:rsidRPr="00CF1287">
              <w:rPr>
                <w:rFonts w:ascii="Calibri" w:hAnsi="Calibri" w:cs="Calibri"/>
                <w:sz w:val="20"/>
                <w:szCs w:val="20"/>
              </w:rPr>
              <w:t xml:space="preserve"> </w:t>
            </w:r>
            <w:r w:rsidR="009A1F8A" w:rsidRPr="00CF1287">
              <w:rPr>
                <w:rFonts w:ascii="Calibri" w:hAnsi="Calibri" w:cs="Calibri"/>
                <w:sz w:val="20"/>
                <w:szCs w:val="20"/>
              </w:rPr>
              <w:t>(</w:t>
            </w:r>
            <w:r w:rsidRPr="00CF1287">
              <w:rPr>
                <w:rFonts w:ascii="Calibri" w:hAnsi="Calibri" w:cs="Calibri"/>
                <w:sz w:val="20"/>
                <w:szCs w:val="20"/>
              </w:rPr>
              <w:t xml:space="preserve">Support the introduction of Time of Use (TOU) electricity pricing). </w:t>
            </w:r>
          </w:p>
          <w:p w14:paraId="1A0BF2D2" w14:textId="453C572E" w:rsidR="00F35A64" w:rsidRPr="00CF1287" w:rsidRDefault="00F35A64" w:rsidP="00CF1287">
            <w:pPr>
              <w:spacing w:line="216" w:lineRule="auto"/>
              <w:rPr>
                <w:rFonts w:ascii="Calibri" w:hAnsi="Calibri" w:cs="Calibri"/>
                <w:sz w:val="20"/>
                <w:szCs w:val="20"/>
              </w:rPr>
            </w:pPr>
          </w:p>
        </w:tc>
      </w:tr>
    </w:tbl>
    <w:p w14:paraId="5C15CCB3" w14:textId="3F596879" w:rsidR="00C10E54" w:rsidRPr="008325C9" w:rsidRDefault="006E1A22" w:rsidP="006E1A22">
      <w:pPr>
        <w:spacing w:before="120" w:after="120" w:line="216" w:lineRule="auto"/>
        <w:jc w:val="center"/>
        <w:rPr>
          <w:rFonts w:ascii="Calibri" w:hAnsi="Calibri" w:cs="Calibri"/>
          <w:b/>
          <w:bCs/>
          <w:sz w:val="20"/>
          <w:szCs w:val="20"/>
        </w:rPr>
      </w:pPr>
      <w:r w:rsidRPr="008325C9">
        <w:rPr>
          <w:rFonts w:ascii="Calibri" w:hAnsi="Calibri" w:cs="Calibri"/>
          <w:b/>
          <w:bCs/>
          <w:sz w:val="20"/>
          <w:szCs w:val="20"/>
        </w:rPr>
        <w:t>Table 1: Target Actions of the Regional EV Program</w:t>
      </w:r>
    </w:p>
    <w:p w14:paraId="10961941" w14:textId="22406C67" w:rsidR="00F46672" w:rsidRDefault="00991804" w:rsidP="00B02A4A">
      <w:pPr>
        <w:spacing w:line="216" w:lineRule="auto"/>
        <w:rPr>
          <w:rFonts w:ascii="Calibri" w:hAnsi="Calibri" w:cs="Calibri"/>
        </w:rPr>
      </w:pPr>
      <w:r>
        <w:rPr>
          <w:rFonts w:ascii="Calibri" w:hAnsi="Calibri" w:cs="Calibri"/>
        </w:rPr>
        <w:lastRenderedPageBreak/>
        <w:t>Note that the reference to TOU electricity pricing</w:t>
      </w:r>
      <w:r w:rsidR="006E1A22">
        <w:rPr>
          <w:rFonts w:ascii="Calibri" w:hAnsi="Calibri" w:cs="Calibri"/>
        </w:rPr>
        <w:t xml:space="preserve"> (last row of Table 1)</w:t>
      </w:r>
      <w:r>
        <w:rPr>
          <w:rFonts w:ascii="Calibri" w:hAnsi="Calibri" w:cs="Calibri"/>
        </w:rPr>
        <w:t xml:space="preserve"> has been </w:t>
      </w:r>
      <w:r w:rsidR="00421FD9">
        <w:rPr>
          <w:rFonts w:ascii="Calibri" w:hAnsi="Calibri" w:cs="Calibri"/>
        </w:rPr>
        <w:t>placed in parentheses. As it stands, the</w:t>
      </w:r>
      <w:r>
        <w:rPr>
          <w:rFonts w:ascii="Calibri" w:hAnsi="Calibri" w:cs="Calibri"/>
        </w:rPr>
        <w:t xml:space="preserve"> introduction of EVs </w:t>
      </w:r>
      <w:r w:rsidR="00421FD9">
        <w:rPr>
          <w:rFonts w:ascii="Calibri" w:hAnsi="Calibri" w:cs="Calibri"/>
        </w:rPr>
        <w:t xml:space="preserve">is not the main reason to adopt TOU pricing: there are other, more </w:t>
      </w:r>
      <w:r w:rsidR="00421FD9" w:rsidRPr="00F614B5">
        <w:rPr>
          <w:rFonts w:ascii="Calibri" w:hAnsi="Calibri" w:cs="Calibri"/>
        </w:rPr>
        <w:t xml:space="preserve">compelling reasons </w:t>
      </w:r>
      <w:r w:rsidR="00CA59A2" w:rsidRPr="00F614B5">
        <w:rPr>
          <w:rFonts w:ascii="Calibri" w:hAnsi="Calibri" w:cs="Calibri"/>
        </w:rPr>
        <w:t>for the introduction of TOU pricing and therefore</w:t>
      </w:r>
      <w:r w:rsidR="00421FD9" w:rsidRPr="00F614B5">
        <w:rPr>
          <w:rFonts w:ascii="Calibri" w:hAnsi="Calibri" w:cs="Calibri"/>
        </w:rPr>
        <w:t xml:space="preserve">, </w:t>
      </w:r>
      <w:r w:rsidR="00CA59A2" w:rsidRPr="00F614B5">
        <w:rPr>
          <w:rFonts w:ascii="Calibri" w:hAnsi="Calibri" w:cs="Calibri"/>
        </w:rPr>
        <w:t>i</w:t>
      </w:r>
      <w:r w:rsidR="00421FD9" w:rsidRPr="00F614B5">
        <w:rPr>
          <w:rFonts w:ascii="Calibri" w:hAnsi="Calibri" w:cs="Calibri"/>
        </w:rPr>
        <w:t xml:space="preserve">n our opinion, </w:t>
      </w:r>
      <w:r w:rsidR="006E1A22" w:rsidRPr="00F614B5">
        <w:rPr>
          <w:rFonts w:ascii="Calibri" w:hAnsi="Calibri" w:cs="Calibri"/>
        </w:rPr>
        <w:t>the EV Program should not lead the take</w:t>
      </w:r>
      <w:r w:rsidR="00421FD9" w:rsidRPr="00F614B5">
        <w:rPr>
          <w:rFonts w:ascii="Calibri" w:hAnsi="Calibri" w:cs="Calibri"/>
        </w:rPr>
        <w:t>-</w:t>
      </w:r>
      <w:r w:rsidR="006E1A22" w:rsidRPr="00F614B5">
        <w:rPr>
          <w:rFonts w:ascii="Calibri" w:hAnsi="Calibri" w:cs="Calibri"/>
        </w:rPr>
        <w:t>up of TOU systems.</w:t>
      </w:r>
      <w:r w:rsidR="00F46672">
        <w:rPr>
          <w:rFonts w:cs="Arial"/>
          <w:color w:val="000000"/>
        </w:rPr>
        <w:t xml:space="preserve"> </w:t>
      </w:r>
    </w:p>
    <w:p w14:paraId="40FDBD87" w14:textId="23A60916" w:rsidR="00D97F28" w:rsidRDefault="00E80D5F">
      <w:pPr>
        <w:spacing w:line="216" w:lineRule="auto"/>
        <w:rPr>
          <w:noProof/>
          <w:szCs w:val="20"/>
          <w:lang w:val="pt-BR" w:eastAsia="pt-BR"/>
        </w:rPr>
      </w:pPr>
      <w:r>
        <w:rPr>
          <w:rFonts w:ascii="Calibri" w:hAnsi="Calibri" w:cs="Calibri"/>
        </w:rPr>
        <w:t xml:space="preserve">The portfolio of action is fully in line with the </w:t>
      </w:r>
      <w:r w:rsidR="00AF43B2">
        <w:rPr>
          <w:rFonts w:ascii="Calibri" w:hAnsi="Calibri" w:cs="Calibri"/>
        </w:rPr>
        <w:t xml:space="preserve">PCREEE </w:t>
      </w:r>
      <w:r>
        <w:rPr>
          <w:rFonts w:ascii="Calibri" w:hAnsi="Calibri" w:cs="Calibri"/>
        </w:rPr>
        <w:t>focus on promoting inclusive and integrated markets for sustainable energy products and services in PICT</w:t>
      </w:r>
      <w:r w:rsidR="00F46672">
        <w:rPr>
          <w:rFonts w:ascii="Calibri" w:hAnsi="Calibri" w:cs="Calibri"/>
        </w:rPr>
        <w:t>s,</w:t>
      </w:r>
      <w:r>
        <w:rPr>
          <w:rFonts w:ascii="Calibri" w:hAnsi="Calibri" w:cs="Calibri"/>
        </w:rPr>
        <w:t xml:space="preserve"> by addressing the </w:t>
      </w:r>
      <w:r w:rsidRPr="00881FFA">
        <w:t>demand-side</w:t>
      </w:r>
      <w:r w:rsidR="00F46672">
        <w:t xml:space="preserve"> (consumer) and supply</w:t>
      </w:r>
      <w:r w:rsidRPr="00881FFA">
        <w:t xml:space="preserve"> side</w:t>
      </w:r>
      <w:r w:rsidR="00F46672">
        <w:t xml:space="preserve"> (technology/service providers)</w:t>
      </w:r>
      <w:r w:rsidRPr="00881FFA">
        <w:t xml:space="preserve"> barriers</w:t>
      </w:r>
      <w:r w:rsidR="00F46672">
        <w:t xml:space="preserve"> equally</w:t>
      </w:r>
      <w:r>
        <w:t xml:space="preserve"> through regional tools and methodologies</w:t>
      </w:r>
      <w:r w:rsidRPr="00881FFA">
        <w:t>.</w:t>
      </w:r>
      <w:r w:rsidR="00D97F28" w:rsidRPr="00D97F28">
        <w:rPr>
          <w:noProof/>
          <w:szCs w:val="20"/>
          <w:lang w:val="pt-BR" w:eastAsia="pt-BR"/>
        </w:rPr>
        <w:t xml:space="preserve"> </w:t>
      </w:r>
    </w:p>
    <w:p w14:paraId="33B76417" w14:textId="77777777" w:rsidR="00D97F28" w:rsidRDefault="00D97F28">
      <w:pPr>
        <w:spacing w:line="216" w:lineRule="auto"/>
        <w:rPr>
          <w:noProof/>
          <w:szCs w:val="20"/>
          <w:lang w:val="pt-BR" w:eastAsia="pt-BR"/>
        </w:rPr>
      </w:pPr>
    </w:p>
    <w:p w14:paraId="3D72272E" w14:textId="32995FD2" w:rsidR="00E80D5F" w:rsidRPr="00CF1287" w:rsidRDefault="00D97F28" w:rsidP="00CF1287">
      <w:pPr>
        <w:spacing w:line="216" w:lineRule="auto"/>
        <w:rPr>
          <w:rFonts w:ascii="Calibri" w:hAnsi="Calibri" w:cs="Calibri"/>
        </w:rPr>
      </w:pPr>
      <w:r w:rsidRPr="002770B3">
        <w:rPr>
          <w:noProof/>
          <w:szCs w:val="20"/>
          <w:lang w:val="pt-BR" w:eastAsia="pt-BR"/>
        </w:rPr>
        <w:drawing>
          <wp:inline distT="0" distB="0" distL="0" distR="0" wp14:anchorId="27699087" wp14:editId="17DA627D">
            <wp:extent cx="5198724" cy="3075721"/>
            <wp:effectExtent l="0" t="0" r="2540" b="0"/>
            <wp:docPr id="2" name="Picture 5">
              <a:extLst xmlns:a="http://schemas.openxmlformats.org/drawingml/2006/main">
                <a:ext uri="{FF2B5EF4-FFF2-40B4-BE49-F238E27FC236}">
                  <a16:creationId xmlns:a16="http://schemas.microsoft.com/office/drawing/2014/main" id="{825EAB36-D06E-413A-AE20-EABC604B95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825EAB36-D06E-413A-AE20-EABC604B952D}"/>
                        </a:ext>
                      </a:extLst>
                    </pic:cNvPr>
                    <pic:cNvPicPr>
                      <a:picLocks noChangeAspect="1"/>
                    </pic:cNvPicPr>
                  </pic:nvPicPr>
                  <pic:blipFill rotWithShape="1">
                    <a:blip r:embed="rId21"/>
                    <a:srcRect l="15000" t="13458" r="10833" b="8499"/>
                    <a:stretch/>
                  </pic:blipFill>
                  <pic:spPr>
                    <a:xfrm>
                      <a:off x="0" y="0"/>
                      <a:ext cx="5273776" cy="3120124"/>
                    </a:xfrm>
                    <a:prstGeom prst="rect">
                      <a:avLst/>
                    </a:prstGeom>
                  </pic:spPr>
                </pic:pic>
              </a:graphicData>
            </a:graphic>
          </wp:inline>
        </w:drawing>
      </w:r>
    </w:p>
    <w:p w14:paraId="5DCD6EB7" w14:textId="327A91EB" w:rsidR="00E80D5F" w:rsidRPr="00CF1287" w:rsidRDefault="00E80D5F" w:rsidP="00CF1287">
      <w:pPr>
        <w:spacing w:before="120" w:after="120" w:line="216" w:lineRule="auto"/>
        <w:jc w:val="center"/>
        <w:rPr>
          <w:rFonts w:ascii="Calibri" w:hAnsi="Calibri" w:cs="Calibri"/>
          <w:szCs w:val="20"/>
        </w:rPr>
      </w:pPr>
      <w:bookmarkStart w:id="6" w:name="_Toc38098844"/>
      <w:r w:rsidRPr="00CF1287">
        <w:rPr>
          <w:rFonts w:ascii="Calibri" w:hAnsi="Calibri" w:cs="Calibri"/>
          <w:b/>
          <w:bCs/>
          <w:sz w:val="20"/>
          <w:szCs w:val="20"/>
        </w:rPr>
        <w:t xml:space="preserve">Figure </w:t>
      </w:r>
      <w:r w:rsidRPr="00CF1287">
        <w:rPr>
          <w:rFonts w:ascii="Calibri" w:hAnsi="Calibri" w:cs="Calibri"/>
          <w:b/>
          <w:bCs/>
          <w:sz w:val="20"/>
          <w:szCs w:val="20"/>
        </w:rPr>
        <w:fldChar w:fldCharType="begin"/>
      </w:r>
      <w:r w:rsidRPr="00CF1287">
        <w:rPr>
          <w:rFonts w:ascii="Calibri" w:hAnsi="Calibri" w:cs="Calibri"/>
          <w:b/>
          <w:bCs/>
          <w:sz w:val="20"/>
          <w:szCs w:val="20"/>
        </w:rPr>
        <w:instrText xml:space="preserve"> SEQ Figure \* ARABIC </w:instrText>
      </w:r>
      <w:r w:rsidRPr="00CF1287">
        <w:rPr>
          <w:rFonts w:ascii="Calibri" w:hAnsi="Calibri" w:cs="Calibri"/>
          <w:b/>
          <w:bCs/>
          <w:sz w:val="20"/>
          <w:szCs w:val="20"/>
        </w:rPr>
        <w:fldChar w:fldCharType="separate"/>
      </w:r>
      <w:r w:rsidR="00F46672" w:rsidRPr="00CF1287">
        <w:rPr>
          <w:rFonts w:ascii="Calibri" w:hAnsi="Calibri" w:cs="Calibri"/>
          <w:b/>
          <w:bCs/>
          <w:sz w:val="20"/>
          <w:szCs w:val="20"/>
        </w:rPr>
        <w:t>2</w:t>
      </w:r>
      <w:r w:rsidRPr="00CF1287">
        <w:rPr>
          <w:rFonts w:ascii="Calibri" w:hAnsi="Calibri" w:cs="Calibri"/>
          <w:b/>
          <w:bCs/>
          <w:sz w:val="20"/>
          <w:szCs w:val="20"/>
        </w:rPr>
        <w:fldChar w:fldCharType="end"/>
      </w:r>
      <w:r w:rsidRPr="00CF1287">
        <w:rPr>
          <w:rFonts w:ascii="Calibri" w:hAnsi="Calibri" w:cs="Calibri"/>
          <w:b/>
          <w:bCs/>
          <w:sz w:val="20"/>
          <w:szCs w:val="20"/>
        </w:rPr>
        <w:t>: PCREEE/GN-SEC Theory of Change</w:t>
      </w:r>
      <w:r w:rsidR="00F46672" w:rsidRPr="00CF1287">
        <w:rPr>
          <w:rFonts w:ascii="Calibri" w:hAnsi="Calibri" w:cs="Calibri"/>
        </w:rPr>
        <w:footnoteReference w:id="4"/>
      </w:r>
      <w:r w:rsidRPr="00CF1287">
        <w:rPr>
          <w:rFonts w:ascii="Calibri" w:hAnsi="Calibri" w:cs="Calibri"/>
          <w:b/>
          <w:bCs/>
          <w:sz w:val="20"/>
          <w:szCs w:val="20"/>
        </w:rPr>
        <w:t xml:space="preserve"> </w:t>
      </w:r>
      <w:bookmarkEnd w:id="6"/>
    </w:p>
    <w:p w14:paraId="2D1D4CA8" w14:textId="1AC01E7B" w:rsidR="00E80D5F" w:rsidRDefault="00E80D5F" w:rsidP="00E80D5F">
      <w:pPr>
        <w:jc w:val="center"/>
        <w:rPr>
          <w:lang w:eastAsia="es-ES"/>
        </w:rPr>
      </w:pPr>
    </w:p>
    <w:p w14:paraId="5ECCBCC6" w14:textId="77777777" w:rsidR="00D97F28" w:rsidRDefault="00F46672">
      <w:pPr>
        <w:spacing w:line="240" w:lineRule="auto"/>
        <w:rPr>
          <w:noProof/>
          <w:lang w:val="pt-BR" w:eastAsia="pt-BR"/>
        </w:rPr>
      </w:pPr>
      <w:r>
        <w:rPr>
          <w:rFonts w:cs="Arial"/>
          <w:color w:val="000000"/>
        </w:rPr>
        <w:t>Through regional activities and spill-over effects, PCREEE aims to introduce RE&amp;EE innovations into the PICTs market. Once demonstrated and tested, PCREEE will facilitate their commercialisation, replication and industrial scale-up.</w:t>
      </w:r>
      <w:r w:rsidR="00D97F28" w:rsidRPr="00D97F28">
        <w:rPr>
          <w:noProof/>
          <w:lang w:val="pt-BR" w:eastAsia="pt-BR"/>
        </w:rPr>
        <w:t xml:space="preserve"> </w:t>
      </w:r>
    </w:p>
    <w:p w14:paraId="22E08480" w14:textId="77777777" w:rsidR="00D97F28" w:rsidRDefault="00D97F28">
      <w:pPr>
        <w:spacing w:line="240" w:lineRule="auto"/>
        <w:rPr>
          <w:noProof/>
          <w:lang w:val="pt-BR" w:eastAsia="pt-BR"/>
        </w:rPr>
      </w:pPr>
    </w:p>
    <w:p w14:paraId="10DAA636" w14:textId="6F72D19E" w:rsidR="00F46672" w:rsidRDefault="00D97F28" w:rsidP="00CF1287">
      <w:pPr>
        <w:spacing w:line="240" w:lineRule="auto"/>
        <w:ind w:hanging="284"/>
        <w:jc w:val="center"/>
        <w:rPr>
          <w:rFonts w:cs="Arial"/>
          <w:color w:val="000000"/>
        </w:rPr>
      </w:pPr>
      <w:r>
        <w:rPr>
          <w:noProof/>
          <w:lang w:val="pt-BR" w:eastAsia="pt-BR"/>
        </w:rPr>
        <w:drawing>
          <wp:inline distT="0" distB="0" distL="0" distR="0" wp14:anchorId="649336B1" wp14:editId="6DF7F6F0">
            <wp:extent cx="6166485" cy="1420470"/>
            <wp:effectExtent l="0" t="0" r="571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8277" t="21149" r="9128" b="52044"/>
                    <a:stretch/>
                  </pic:blipFill>
                  <pic:spPr bwMode="auto">
                    <a:xfrm>
                      <a:off x="0" y="0"/>
                      <a:ext cx="6292302" cy="1449452"/>
                    </a:xfrm>
                    <a:prstGeom prst="rect">
                      <a:avLst/>
                    </a:prstGeom>
                    <a:ln>
                      <a:noFill/>
                    </a:ln>
                    <a:extLst>
                      <a:ext uri="{53640926-AAD7-44D8-BBD7-CCE9431645EC}">
                        <a14:shadowObscured xmlns:a14="http://schemas.microsoft.com/office/drawing/2010/main"/>
                      </a:ext>
                    </a:extLst>
                  </pic:spPr>
                </pic:pic>
              </a:graphicData>
            </a:graphic>
          </wp:inline>
        </w:drawing>
      </w:r>
    </w:p>
    <w:p w14:paraId="52F90DCB" w14:textId="59A8F89E" w:rsidR="00E80D5F" w:rsidRPr="00CF1287" w:rsidRDefault="00E80D5F" w:rsidP="00CF1287">
      <w:pPr>
        <w:spacing w:before="120" w:after="120" w:line="216" w:lineRule="auto"/>
        <w:jc w:val="center"/>
        <w:rPr>
          <w:rFonts w:ascii="Calibri" w:hAnsi="Calibri" w:cs="Calibri"/>
          <w:b/>
          <w:bCs/>
          <w:sz w:val="20"/>
          <w:szCs w:val="20"/>
        </w:rPr>
      </w:pPr>
      <w:bookmarkStart w:id="7" w:name="_Toc38098845"/>
      <w:r w:rsidRPr="00CF1287">
        <w:rPr>
          <w:rFonts w:ascii="Calibri" w:hAnsi="Calibri" w:cs="Calibri"/>
          <w:b/>
          <w:bCs/>
          <w:sz w:val="20"/>
          <w:szCs w:val="20"/>
        </w:rPr>
        <w:t xml:space="preserve">Figure </w:t>
      </w:r>
      <w:r w:rsidRPr="00CF1287">
        <w:rPr>
          <w:rFonts w:ascii="Calibri" w:hAnsi="Calibri" w:cs="Calibri"/>
          <w:b/>
          <w:bCs/>
          <w:sz w:val="20"/>
          <w:szCs w:val="20"/>
        </w:rPr>
        <w:fldChar w:fldCharType="begin"/>
      </w:r>
      <w:r w:rsidRPr="00CF1287">
        <w:rPr>
          <w:rFonts w:ascii="Calibri" w:hAnsi="Calibri" w:cs="Calibri"/>
          <w:b/>
          <w:bCs/>
          <w:sz w:val="20"/>
          <w:szCs w:val="20"/>
        </w:rPr>
        <w:instrText xml:space="preserve"> SEQ Figure \* ARABIC </w:instrText>
      </w:r>
      <w:r w:rsidRPr="00CF1287">
        <w:rPr>
          <w:rFonts w:ascii="Calibri" w:hAnsi="Calibri" w:cs="Calibri"/>
          <w:b/>
          <w:bCs/>
          <w:sz w:val="20"/>
          <w:szCs w:val="20"/>
        </w:rPr>
        <w:fldChar w:fldCharType="separate"/>
      </w:r>
      <w:r w:rsidR="00F46672" w:rsidRPr="00CF1287">
        <w:rPr>
          <w:rFonts w:ascii="Calibri" w:hAnsi="Calibri" w:cs="Calibri"/>
          <w:b/>
          <w:bCs/>
          <w:sz w:val="20"/>
          <w:szCs w:val="20"/>
        </w:rPr>
        <w:t>3</w:t>
      </w:r>
      <w:r w:rsidRPr="00CF1287">
        <w:rPr>
          <w:rFonts w:ascii="Calibri" w:hAnsi="Calibri" w:cs="Calibri"/>
          <w:b/>
          <w:bCs/>
          <w:sz w:val="20"/>
          <w:szCs w:val="20"/>
        </w:rPr>
        <w:fldChar w:fldCharType="end"/>
      </w:r>
      <w:r w:rsidRPr="00CF1287">
        <w:rPr>
          <w:rFonts w:ascii="Calibri" w:hAnsi="Calibri" w:cs="Calibri"/>
          <w:b/>
          <w:bCs/>
          <w:sz w:val="20"/>
          <w:szCs w:val="20"/>
        </w:rPr>
        <w:t xml:space="preserve">: </w:t>
      </w:r>
      <w:bookmarkEnd w:id="7"/>
      <w:r w:rsidRPr="00CF1287">
        <w:rPr>
          <w:rFonts w:ascii="Calibri" w:hAnsi="Calibri" w:cs="Calibri"/>
          <w:b/>
          <w:bCs/>
          <w:sz w:val="20"/>
          <w:szCs w:val="20"/>
        </w:rPr>
        <w:t>PCREEE</w:t>
      </w:r>
      <w:r w:rsidR="00F46672" w:rsidRPr="00CF1287">
        <w:rPr>
          <w:rFonts w:ascii="Calibri" w:hAnsi="Calibri" w:cs="Calibri"/>
          <w:b/>
          <w:bCs/>
          <w:sz w:val="20"/>
          <w:szCs w:val="20"/>
        </w:rPr>
        <w:t>/GN-SEC Regional</w:t>
      </w:r>
      <w:r w:rsidRPr="00CF1287">
        <w:rPr>
          <w:rFonts w:ascii="Calibri" w:hAnsi="Calibri" w:cs="Calibri"/>
          <w:b/>
          <w:bCs/>
          <w:sz w:val="20"/>
          <w:szCs w:val="20"/>
        </w:rPr>
        <w:t xml:space="preserve"> Market Development Approac</w:t>
      </w:r>
      <w:r w:rsidR="00F46672" w:rsidRPr="00CF1287">
        <w:rPr>
          <w:rFonts w:ascii="Calibri" w:hAnsi="Calibri" w:cs="Calibri"/>
          <w:b/>
          <w:bCs/>
          <w:sz w:val="20"/>
          <w:szCs w:val="20"/>
        </w:rPr>
        <w:t>h for EVs</w:t>
      </w:r>
    </w:p>
    <w:p w14:paraId="339E5D6A" w14:textId="77777777" w:rsidR="00D97F28" w:rsidRDefault="00D97F28">
      <w:pPr>
        <w:jc w:val="left"/>
        <w:rPr>
          <w:bCs/>
          <w:szCs w:val="20"/>
          <w:lang w:eastAsia="en-GB"/>
        </w:rPr>
      </w:pPr>
      <w:r>
        <w:rPr>
          <w:bCs/>
          <w:szCs w:val="20"/>
          <w:lang w:eastAsia="en-GB"/>
        </w:rPr>
        <w:br w:type="page"/>
      </w:r>
    </w:p>
    <w:p w14:paraId="42617FCA" w14:textId="45067DF4" w:rsidR="001A54A5" w:rsidRPr="00FF7D24" w:rsidRDefault="001009C1">
      <w:pPr>
        <w:pStyle w:val="Heading1"/>
        <w:rPr>
          <w:rFonts w:ascii="Calibri" w:hAnsi="Calibri" w:cs="Calibri"/>
          <w:b/>
          <w:color w:val="1F3864" w:themeColor="accent1" w:themeShade="80"/>
          <w:sz w:val="24"/>
          <w:szCs w:val="24"/>
        </w:rPr>
      </w:pPr>
      <w:bookmarkStart w:id="8" w:name="_Toc36839561"/>
      <w:r w:rsidRPr="00FF7D24">
        <w:rPr>
          <w:rFonts w:ascii="Calibri" w:hAnsi="Calibri" w:cs="Calibri"/>
          <w:b/>
          <w:color w:val="1F3864" w:themeColor="accent1" w:themeShade="80"/>
          <w:sz w:val="24"/>
          <w:szCs w:val="24"/>
        </w:rPr>
        <w:lastRenderedPageBreak/>
        <w:t xml:space="preserve">Context for the Working Environment of the Regional </w:t>
      </w:r>
      <w:r w:rsidR="00DE4981">
        <w:rPr>
          <w:rFonts w:ascii="Calibri" w:hAnsi="Calibri" w:cs="Calibri"/>
          <w:b/>
          <w:color w:val="1F3864" w:themeColor="accent1" w:themeShade="80"/>
          <w:sz w:val="24"/>
          <w:szCs w:val="24"/>
        </w:rPr>
        <w:t xml:space="preserve">EV </w:t>
      </w:r>
      <w:r w:rsidR="00641267" w:rsidRPr="00FF7D24">
        <w:rPr>
          <w:rFonts w:ascii="Calibri" w:hAnsi="Calibri" w:cs="Calibri"/>
          <w:b/>
          <w:color w:val="1F3864" w:themeColor="accent1" w:themeShade="80"/>
          <w:sz w:val="24"/>
          <w:szCs w:val="24"/>
        </w:rPr>
        <w:t>Program</w:t>
      </w:r>
      <w:bookmarkEnd w:id="8"/>
      <w:r w:rsidRPr="00FF7D24" w:rsidDel="001009C1">
        <w:rPr>
          <w:rFonts w:ascii="Calibri" w:hAnsi="Calibri" w:cs="Calibri"/>
          <w:b/>
          <w:color w:val="1F3864" w:themeColor="accent1" w:themeShade="80"/>
          <w:sz w:val="24"/>
          <w:szCs w:val="24"/>
        </w:rPr>
        <w:t xml:space="preserve"> </w:t>
      </w:r>
    </w:p>
    <w:p w14:paraId="0FDCEEFD" w14:textId="23248130" w:rsidR="00F46672" w:rsidRPr="00FE0F6C" w:rsidRDefault="006E1A22" w:rsidP="00FF7D24">
      <w:pPr>
        <w:spacing w:before="120" w:after="120" w:line="216" w:lineRule="auto"/>
        <w:rPr>
          <w:rFonts w:ascii="Calibri" w:hAnsi="Calibri" w:cs="Calibri"/>
        </w:rPr>
      </w:pPr>
      <w:r>
        <w:rPr>
          <w:rFonts w:ascii="Calibri" w:hAnsi="Calibri" w:cs="Calibri"/>
        </w:rPr>
        <w:t xml:space="preserve">The earlier work identified some important </w:t>
      </w:r>
      <w:r w:rsidR="00BE5FAD" w:rsidRPr="00FE0F6C">
        <w:rPr>
          <w:rFonts w:ascii="Calibri" w:hAnsi="Calibri" w:cs="Calibri"/>
        </w:rPr>
        <w:t xml:space="preserve">context in which the proposed </w:t>
      </w:r>
      <w:r w:rsidR="00DD0FFD" w:rsidRPr="00FE0F6C">
        <w:rPr>
          <w:rFonts w:ascii="Calibri" w:hAnsi="Calibri" w:cs="Calibri"/>
        </w:rPr>
        <w:t xml:space="preserve">Regional </w:t>
      </w:r>
      <w:r w:rsidR="00BE5FAD" w:rsidRPr="00FE0F6C">
        <w:rPr>
          <w:rFonts w:ascii="Calibri" w:hAnsi="Calibri" w:cs="Calibri"/>
        </w:rPr>
        <w:t>EV</w:t>
      </w:r>
      <w:r w:rsidR="00DD0FFD" w:rsidRPr="00FE0F6C">
        <w:rPr>
          <w:rFonts w:ascii="Calibri" w:hAnsi="Calibri" w:cs="Calibri"/>
        </w:rPr>
        <w:t xml:space="preserve"> </w:t>
      </w:r>
      <w:r w:rsidR="00CC1D66">
        <w:rPr>
          <w:rFonts w:ascii="Calibri" w:hAnsi="Calibri" w:cs="Calibri"/>
        </w:rPr>
        <w:t>Program</w:t>
      </w:r>
      <w:r w:rsidR="009F0891" w:rsidRPr="00FE0F6C">
        <w:rPr>
          <w:rFonts w:ascii="Calibri" w:hAnsi="Calibri" w:cs="Calibri"/>
        </w:rPr>
        <w:t xml:space="preserve"> </w:t>
      </w:r>
      <w:r w:rsidR="00DD0FFD" w:rsidRPr="00FE0F6C">
        <w:rPr>
          <w:rFonts w:ascii="Calibri" w:hAnsi="Calibri" w:cs="Calibri"/>
        </w:rPr>
        <w:t xml:space="preserve">must work. </w:t>
      </w:r>
      <w:r w:rsidR="00BE5FAD" w:rsidRPr="00FE0F6C">
        <w:rPr>
          <w:rFonts w:ascii="Calibri" w:hAnsi="Calibri" w:cs="Calibri"/>
        </w:rPr>
        <w:t>This context</w:t>
      </w:r>
      <w:r w:rsidR="00341108" w:rsidRPr="00FE0F6C">
        <w:rPr>
          <w:rFonts w:ascii="Calibri" w:hAnsi="Calibri" w:cs="Calibri"/>
        </w:rPr>
        <w:t xml:space="preserve"> is as follows</w:t>
      </w:r>
      <w:r w:rsidR="00BE5FAD" w:rsidRPr="00FE0F6C">
        <w:rPr>
          <w:rFonts w:ascii="Calibri" w:hAnsi="Calibri" w:cs="Calibri"/>
        </w:rPr>
        <w:t>:</w:t>
      </w:r>
    </w:p>
    <w:p w14:paraId="44390CCE" w14:textId="77777777" w:rsidR="00C02418" w:rsidRDefault="0097427B" w:rsidP="00FF7D24">
      <w:pPr>
        <w:pStyle w:val="ListParagraph"/>
        <w:numPr>
          <w:ilvl w:val="0"/>
          <w:numId w:val="3"/>
        </w:numPr>
        <w:spacing w:before="120" w:after="120" w:line="216" w:lineRule="auto"/>
        <w:ind w:hanging="357"/>
        <w:rPr>
          <w:rFonts w:ascii="Calibri" w:hAnsi="Calibri" w:cs="Calibri"/>
        </w:rPr>
      </w:pPr>
      <w:r w:rsidRPr="00B02A4A">
        <w:rPr>
          <w:rFonts w:ascii="Calibri" w:hAnsi="Calibri" w:cs="Calibri"/>
        </w:rPr>
        <w:t>Electric vehicle-related technology is rapidly evolving</w:t>
      </w:r>
      <w:r w:rsidR="00AF3982" w:rsidRPr="00B02A4A">
        <w:rPr>
          <w:rFonts w:ascii="Calibri" w:hAnsi="Calibri" w:cs="Calibri"/>
        </w:rPr>
        <w:t>, providing many new opportunities.</w:t>
      </w:r>
      <w:r w:rsidR="004948D5" w:rsidRPr="00B02A4A">
        <w:rPr>
          <w:rFonts w:ascii="Calibri" w:hAnsi="Calibri" w:cs="Calibri"/>
        </w:rPr>
        <w:t xml:space="preserve"> </w:t>
      </w:r>
      <w:r w:rsidR="00C02418">
        <w:rPr>
          <w:rFonts w:ascii="Calibri" w:hAnsi="Calibri" w:cs="Calibri"/>
        </w:rPr>
        <w:t>Related to this:</w:t>
      </w:r>
    </w:p>
    <w:p w14:paraId="5BAD1FC3" w14:textId="77777777" w:rsidR="00C02418" w:rsidRDefault="004948D5" w:rsidP="00FF7D24">
      <w:pPr>
        <w:pStyle w:val="ListParagraph"/>
        <w:numPr>
          <w:ilvl w:val="1"/>
          <w:numId w:val="3"/>
        </w:numPr>
        <w:spacing w:before="120" w:after="120" w:line="216" w:lineRule="auto"/>
        <w:ind w:hanging="357"/>
        <w:rPr>
          <w:rFonts w:ascii="Calibri" w:hAnsi="Calibri" w:cs="Calibri"/>
        </w:rPr>
      </w:pPr>
      <w:r w:rsidRPr="00B02A4A">
        <w:rPr>
          <w:rFonts w:ascii="Calibri" w:hAnsi="Calibri" w:cs="Calibri"/>
        </w:rPr>
        <w:t>O</w:t>
      </w:r>
      <w:r w:rsidR="00AF3982" w:rsidRPr="00B02A4A">
        <w:rPr>
          <w:rFonts w:ascii="Calibri" w:hAnsi="Calibri" w:cs="Calibri"/>
        </w:rPr>
        <w:t>rganisations working in th</w:t>
      </w:r>
      <w:r w:rsidRPr="00B02A4A">
        <w:rPr>
          <w:rFonts w:ascii="Calibri" w:hAnsi="Calibri" w:cs="Calibri"/>
        </w:rPr>
        <w:t>is</w:t>
      </w:r>
      <w:r w:rsidR="00AF3982" w:rsidRPr="00B02A4A">
        <w:rPr>
          <w:rFonts w:ascii="Calibri" w:hAnsi="Calibri" w:cs="Calibri"/>
        </w:rPr>
        <w:t xml:space="preserve"> space will need to remain nimble to </w:t>
      </w:r>
      <w:r w:rsidRPr="00B02A4A">
        <w:rPr>
          <w:rFonts w:ascii="Calibri" w:hAnsi="Calibri" w:cs="Calibri"/>
        </w:rPr>
        <w:t>make the most of the new technology as it comes available</w:t>
      </w:r>
      <w:r w:rsidR="00C02418">
        <w:rPr>
          <w:rFonts w:ascii="Calibri" w:hAnsi="Calibri" w:cs="Calibri"/>
        </w:rPr>
        <w:t>. Projects may also require re-evaluation as circumstances change;</w:t>
      </w:r>
      <w:r w:rsidR="00B502D2" w:rsidRPr="00B02A4A">
        <w:rPr>
          <w:rFonts w:ascii="Calibri" w:hAnsi="Calibri" w:cs="Calibri"/>
        </w:rPr>
        <w:t xml:space="preserve"> </w:t>
      </w:r>
    </w:p>
    <w:p w14:paraId="1BA86F62" w14:textId="77777777" w:rsidR="00C02418" w:rsidRDefault="00421FD9" w:rsidP="00FF7D24">
      <w:pPr>
        <w:pStyle w:val="ListParagraph"/>
        <w:numPr>
          <w:ilvl w:val="1"/>
          <w:numId w:val="3"/>
        </w:numPr>
        <w:spacing w:before="120" w:after="120" w:line="216" w:lineRule="auto"/>
        <w:ind w:hanging="357"/>
        <w:rPr>
          <w:rFonts w:ascii="Calibri" w:hAnsi="Calibri" w:cs="Calibri"/>
        </w:rPr>
      </w:pPr>
      <w:r>
        <w:rPr>
          <w:rFonts w:ascii="Calibri" w:hAnsi="Calibri" w:cs="Calibri"/>
        </w:rPr>
        <w:t>Care must be taken to avoid adopting</w:t>
      </w:r>
      <w:r w:rsidR="004948D5" w:rsidRPr="00B02A4A">
        <w:rPr>
          <w:rFonts w:ascii="Calibri" w:hAnsi="Calibri" w:cs="Calibri"/>
        </w:rPr>
        <w:t xml:space="preserve"> technology that </w:t>
      </w:r>
      <w:r w:rsidR="008B718F" w:rsidRPr="00B02A4A">
        <w:rPr>
          <w:rFonts w:ascii="Calibri" w:hAnsi="Calibri" w:cs="Calibri"/>
        </w:rPr>
        <w:t>is not sufficiently mature</w:t>
      </w:r>
      <w:r w:rsidR="00B502D2" w:rsidRPr="00B02A4A">
        <w:rPr>
          <w:rFonts w:ascii="Calibri" w:hAnsi="Calibri" w:cs="Calibri"/>
        </w:rPr>
        <w:t xml:space="preserve"> for </w:t>
      </w:r>
      <w:r>
        <w:rPr>
          <w:rFonts w:ascii="Calibri" w:hAnsi="Calibri" w:cs="Calibri"/>
        </w:rPr>
        <w:t xml:space="preserve">purposes of </w:t>
      </w:r>
      <w:r w:rsidR="00B502D2" w:rsidRPr="00B02A4A">
        <w:rPr>
          <w:rFonts w:ascii="Calibri" w:hAnsi="Calibri" w:cs="Calibri"/>
        </w:rPr>
        <w:t xml:space="preserve">the </w:t>
      </w:r>
      <w:r>
        <w:rPr>
          <w:rFonts w:ascii="Calibri" w:hAnsi="Calibri" w:cs="Calibri"/>
        </w:rPr>
        <w:t xml:space="preserve">particular </w:t>
      </w:r>
      <w:r w:rsidR="00B502D2" w:rsidRPr="00B02A4A">
        <w:rPr>
          <w:rFonts w:ascii="Calibri" w:hAnsi="Calibri" w:cs="Calibri"/>
        </w:rPr>
        <w:t>PICT market</w:t>
      </w:r>
      <w:r w:rsidR="00CA59A2">
        <w:rPr>
          <w:rFonts w:ascii="Calibri" w:hAnsi="Calibri" w:cs="Calibri"/>
        </w:rPr>
        <w:t xml:space="preserve"> (as early adoption </w:t>
      </w:r>
      <w:r>
        <w:rPr>
          <w:rFonts w:ascii="Calibri" w:hAnsi="Calibri" w:cs="Calibri"/>
        </w:rPr>
        <w:t>might lead to setbacks</w:t>
      </w:r>
      <w:r w:rsidR="00CA59A2">
        <w:rPr>
          <w:rFonts w:ascii="Calibri" w:hAnsi="Calibri" w:cs="Calibri"/>
        </w:rPr>
        <w:t>)</w:t>
      </w:r>
      <w:r>
        <w:rPr>
          <w:rFonts w:ascii="Calibri" w:hAnsi="Calibri" w:cs="Calibri"/>
        </w:rPr>
        <w:t>;</w:t>
      </w:r>
    </w:p>
    <w:p w14:paraId="27C5B987" w14:textId="77777777" w:rsidR="00C02418" w:rsidRDefault="00C02418" w:rsidP="00FF7D24">
      <w:pPr>
        <w:pStyle w:val="ListParagraph"/>
        <w:numPr>
          <w:ilvl w:val="1"/>
          <w:numId w:val="3"/>
        </w:numPr>
        <w:spacing w:before="120" w:after="120" w:line="216" w:lineRule="auto"/>
        <w:ind w:hanging="357"/>
        <w:rPr>
          <w:rFonts w:ascii="Calibri" w:hAnsi="Calibri" w:cs="Calibri"/>
        </w:rPr>
      </w:pPr>
      <w:r>
        <w:rPr>
          <w:rFonts w:ascii="Calibri" w:hAnsi="Calibri" w:cs="Calibri"/>
        </w:rPr>
        <w:t>U</w:t>
      </w:r>
      <w:r w:rsidRPr="00FE0F6C">
        <w:rPr>
          <w:rFonts w:ascii="Calibri" w:hAnsi="Calibri" w:cs="Calibri"/>
        </w:rPr>
        <w:t xml:space="preserve">se of partnerships with overseas groups might best provide </w:t>
      </w:r>
      <w:r>
        <w:rPr>
          <w:rFonts w:ascii="Calibri" w:hAnsi="Calibri" w:cs="Calibri"/>
        </w:rPr>
        <w:t xml:space="preserve">knowledge on and </w:t>
      </w:r>
      <w:r w:rsidRPr="00FE0F6C">
        <w:rPr>
          <w:rFonts w:ascii="Calibri" w:hAnsi="Calibri" w:cs="Calibri"/>
        </w:rPr>
        <w:t xml:space="preserve">access to </w:t>
      </w:r>
      <w:r>
        <w:rPr>
          <w:rFonts w:ascii="Calibri" w:hAnsi="Calibri" w:cs="Calibri"/>
        </w:rPr>
        <w:t xml:space="preserve">the </w:t>
      </w:r>
      <w:r w:rsidRPr="00FE0F6C">
        <w:rPr>
          <w:rFonts w:ascii="Calibri" w:hAnsi="Calibri" w:cs="Calibri"/>
        </w:rPr>
        <w:t>latest developments</w:t>
      </w:r>
      <w:r w:rsidR="00B502D2" w:rsidRPr="00B02A4A">
        <w:rPr>
          <w:rFonts w:ascii="Calibri" w:hAnsi="Calibri" w:cs="Calibri"/>
        </w:rPr>
        <w:t xml:space="preserve">. </w:t>
      </w:r>
    </w:p>
    <w:p w14:paraId="15104D8D" w14:textId="45350435" w:rsidR="002914B5" w:rsidRDefault="002914B5" w:rsidP="00FF7D24">
      <w:pPr>
        <w:pStyle w:val="ListParagraph"/>
        <w:numPr>
          <w:ilvl w:val="0"/>
          <w:numId w:val="3"/>
        </w:numPr>
        <w:spacing w:before="120" w:after="120" w:line="216" w:lineRule="auto"/>
        <w:ind w:hanging="357"/>
        <w:rPr>
          <w:rFonts w:ascii="Calibri" w:hAnsi="Calibri" w:cs="Calibri"/>
        </w:rPr>
      </w:pPr>
      <w:r w:rsidRPr="00FE0F6C">
        <w:rPr>
          <w:rFonts w:ascii="Calibri" w:hAnsi="Calibri" w:cs="Calibri"/>
        </w:rPr>
        <w:t xml:space="preserve">PICTs are highly diverse in many </w:t>
      </w:r>
      <w:r w:rsidR="001F2EC0">
        <w:rPr>
          <w:rFonts w:ascii="Calibri" w:hAnsi="Calibri" w:cs="Calibri"/>
        </w:rPr>
        <w:t>respects,</w:t>
      </w:r>
      <w:r w:rsidR="001F2EC0" w:rsidRPr="00FE0F6C">
        <w:rPr>
          <w:rFonts w:ascii="Calibri" w:hAnsi="Calibri" w:cs="Calibri"/>
        </w:rPr>
        <w:t xml:space="preserve"> </w:t>
      </w:r>
      <w:r w:rsidRPr="00FE0F6C">
        <w:rPr>
          <w:rFonts w:ascii="Calibri" w:hAnsi="Calibri" w:cs="Calibri"/>
        </w:rPr>
        <w:t>quite apart from their differing physical and human geography — their urbanisation, their relative wealth, the quality and extent of their roading networks, their transport demands and existing vehicle fleets, their electricity infrastructure and markets for electricity and fuel</w:t>
      </w:r>
      <w:r w:rsidR="003630A1">
        <w:rPr>
          <w:rFonts w:ascii="Calibri" w:hAnsi="Calibri" w:cs="Calibri"/>
        </w:rPr>
        <w:t xml:space="preserve"> (requiring flexibility in how the Regional EV Program applies to individual PICTs)</w:t>
      </w:r>
      <w:r w:rsidRPr="00FE0F6C">
        <w:rPr>
          <w:rFonts w:ascii="Calibri" w:hAnsi="Calibri" w:cs="Calibri"/>
        </w:rPr>
        <w:t>.</w:t>
      </w:r>
    </w:p>
    <w:p w14:paraId="0266B401" w14:textId="49E3F53E" w:rsidR="00C13C48" w:rsidRDefault="002914B5" w:rsidP="00FF7D24">
      <w:pPr>
        <w:pStyle w:val="ListParagraph"/>
        <w:numPr>
          <w:ilvl w:val="0"/>
          <w:numId w:val="3"/>
        </w:numPr>
        <w:spacing w:before="120" w:after="120" w:line="216" w:lineRule="auto"/>
        <w:ind w:hanging="357"/>
        <w:rPr>
          <w:rFonts w:ascii="Calibri" w:hAnsi="Calibri" w:cs="Calibri"/>
        </w:rPr>
      </w:pPr>
      <w:r w:rsidRPr="00FE0F6C">
        <w:rPr>
          <w:rFonts w:ascii="Calibri" w:hAnsi="Calibri" w:cs="Calibri"/>
        </w:rPr>
        <w:t>There is currently very little EV-related capability and capacity within PICTs. I</w:t>
      </w:r>
      <w:r w:rsidR="001F2EC0">
        <w:rPr>
          <w:rFonts w:ascii="Calibri" w:hAnsi="Calibri" w:cs="Calibri"/>
        </w:rPr>
        <w:t>n their i</w:t>
      </w:r>
      <w:r w:rsidRPr="00FE0F6C">
        <w:rPr>
          <w:rFonts w:ascii="Calibri" w:hAnsi="Calibri" w:cs="Calibri"/>
        </w:rPr>
        <w:t>nitial years</w:t>
      </w:r>
      <w:r w:rsidR="001F2EC0">
        <w:rPr>
          <w:rFonts w:ascii="Calibri" w:hAnsi="Calibri" w:cs="Calibri"/>
        </w:rPr>
        <w:t>, PICTs</w:t>
      </w:r>
      <w:r w:rsidRPr="00FE0F6C">
        <w:rPr>
          <w:rFonts w:ascii="Calibri" w:hAnsi="Calibri" w:cs="Calibri"/>
        </w:rPr>
        <w:t xml:space="preserve"> will be highly dependent upon international support whilst </w:t>
      </w:r>
      <w:r w:rsidR="001F2EC0">
        <w:rPr>
          <w:rFonts w:ascii="Calibri" w:hAnsi="Calibri" w:cs="Calibri"/>
        </w:rPr>
        <w:t>they</w:t>
      </w:r>
      <w:r w:rsidR="001F2EC0" w:rsidRPr="00FE0F6C">
        <w:rPr>
          <w:rFonts w:ascii="Calibri" w:hAnsi="Calibri" w:cs="Calibri"/>
        </w:rPr>
        <w:t xml:space="preserve"> </w:t>
      </w:r>
      <w:r w:rsidRPr="00FE0F6C">
        <w:rPr>
          <w:rFonts w:ascii="Calibri" w:hAnsi="Calibri" w:cs="Calibri"/>
        </w:rPr>
        <w:t xml:space="preserve">develop their own capability. This upskilling </w:t>
      </w:r>
      <w:r w:rsidR="007A49EC" w:rsidRPr="00FE0F6C">
        <w:rPr>
          <w:rFonts w:ascii="Calibri" w:hAnsi="Calibri" w:cs="Calibri"/>
        </w:rPr>
        <w:t xml:space="preserve">would be more efficiently provided </w:t>
      </w:r>
      <w:r w:rsidR="00421FD9">
        <w:rPr>
          <w:rFonts w:ascii="Calibri" w:hAnsi="Calibri" w:cs="Calibri"/>
        </w:rPr>
        <w:t>by</w:t>
      </w:r>
      <w:r w:rsidR="00421FD9" w:rsidRPr="00FE0F6C">
        <w:rPr>
          <w:rFonts w:ascii="Calibri" w:hAnsi="Calibri" w:cs="Calibri"/>
        </w:rPr>
        <w:t xml:space="preserve"> </w:t>
      </w:r>
      <w:r w:rsidR="00421FD9">
        <w:rPr>
          <w:rFonts w:ascii="Calibri" w:hAnsi="Calibri" w:cs="Calibri"/>
        </w:rPr>
        <w:t>rolling out similar programs across all</w:t>
      </w:r>
      <w:r w:rsidR="007A49EC" w:rsidRPr="00FE0F6C">
        <w:rPr>
          <w:rFonts w:ascii="Calibri" w:hAnsi="Calibri" w:cs="Calibri"/>
        </w:rPr>
        <w:t xml:space="preserve"> PICTs </w:t>
      </w:r>
      <w:r w:rsidR="00C13C48" w:rsidRPr="00FE0F6C">
        <w:rPr>
          <w:rFonts w:ascii="Calibri" w:hAnsi="Calibri" w:cs="Calibri"/>
        </w:rPr>
        <w:t xml:space="preserve">so that the region can grow and </w:t>
      </w:r>
      <w:r w:rsidR="00421FD9">
        <w:rPr>
          <w:rFonts w:ascii="Calibri" w:hAnsi="Calibri" w:cs="Calibri"/>
        </w:rPr>
        <w:t xml:space="preserve">each party can </w:t>
      </w:r>
      <w:r w:rsidR="00C13C48" w:rsidRPr="00FE0F6C">
        <w:rPr>
          <w:rFonts w:ascii="Calibri" w:hAnsi="Calibri" w:cs="Calibri"/>
        </w:rPr>
        <w:t xml:space="preserve">learn from </w:t>
      </w:r>
      <w:r w:rsidR="00421FD9">
        <w:rPr>
          <w:rFonts w:ascii="Calibri" w:hAnsi="Calibri" w:cs="Calibri"/>
        </w:rPr>
        <w:t>the experiences of others</w:t>
      </w:r>
      <w:r w:rsidR="00E163D7" w:rsidRPr="00FE0F6C">
        <w:rPr>
          <w:rFonts w:ascii="Calibri" w:hAnsi="Calibri" w:cs="Calibri"/>
        </w:rPr>
        <w:t xml:space="preserve"> </w:t>
      </w:r>
      <w:r w:rsidR="00C13C48" w:rsidRPr="00FE0F6C">
        <w:rPr>
          <w:rFonts w:ascii="Calibri" w:hAnsi="Calibri" w:cs="Calibri"/>
        </w:rPr>
        <w:t xml:space="preserve">as </w:t>
      </w:r>
      <w:r w:rsidR="00421FD9">
        <w:rPr>
          <w:rFonts w:ascii="Calibri" w:hAnsi="Calibri" w:cs="Calibri"/>
        </w:rPr>
        <w:t xml:space="preserve">part of a single </w:t>
      </w:r>
      <w:r w:rsidR="00C13C48" w:rsidRPr="00FE0F6C">
        <w:rPr>
          <w:rFonts w:ascii="Calibri" w:hAnsi="Calibri" w:cs="Calibri"/>
        </w:rPr>
        <w:t>ecosystem</w:t>
      </w:r>
      <w:r w:rsidR="007A49EC" w:rsidRPr="00FE0F6C">
        <w:rPr>
          <w:rFonts w:ascii="Calibri" w:hAnsi="Calibri" w:cs="Calibri"/>
        </w:rPr>
        <w:t xml:space="preserve">, rather than </w:t>
      </w:r>
      <w:r w:rsidR="00E163D7">
        <w:rPr>
          <w:rFonts w:ascii="Calibri" w:hAnsi="Calibri" w:cs="Calibri"/>
        </w:rPr>
        <w:t>allow</w:t>
      </w:r>
      <w:r w:rsidR="00E163D7" w:rsidRPr="00FE0F6C">
        <w:rPr>
          <w:rFonts w:ascii="Calibri" w:hAnsi="Calibri" w:cs="Calibri"/>
        </w:rPr>
        <w:t xml:space="preserve"> </w:t>
      </w:r>
      <w:r w:rsidR="007A49EC" w:rsidRPr="00FE0F6C">
        <w:rPr>
          <w:rFonts w:ascii="Calibri" w:hAnsi="Calibri" w:cs="Calibri"/>
        </w:rPr>
        <w:t xml:space="preserve">some </w:t>
      </w:r>
      <w:r w:rsidR="00E163D7">
        <w:rPr>
          <w:rFonts w:ascii="Calibri" w:hAnsi="Calibri" w:cs="Calibri"/>
        </w:rPr>
        <w:t xml:space="preserve">to be left </w:t>
      </w:r>
      <w:r w:rsidR="007A49EC" w:rsidRPr="00FE0F6C">
        <w:rPr>
          <w:rFonts w:ascii="Calibri" w:hAnsi="Calibri" w:cs="Calibri"/>
        </w:rPr>
        <w:t>behind</w:t>
      </w:r>
      <w:r w:rsidR="00C13C48" w:rsidRPr="00FE0F6C">
        <w:rPr>
          <w:rFonts w:ascii="Calibri" w:hAnsi="Calibri" w:cs="Calibri"/>
        </w:rPr>
        <w:t>.</w:t>
      </w:r>
      <w:r w:rsidR="006A3557">
        <w:rPr>
          <w:rFonts w:ascii="Calibri" w:hAnsi="Calibri" w:cs="Calibri"/>
        </w:rPr>
        <w:t xml:space="preserve"> PICTs can </w:t>
      </w:r>
      <w:r w:rsidR="009A1F8A">
        <w:rPr>
          <w:rFonts w:ascii="Calibri" w:hAnsi="Calibri" w:cs="Calibri"/>
        </w:rPr>
        <w:t xml:space="preserve">also </w:t>
      </w:r>
      <w:r w:rsidR="006A3557">
        <w:rPr>
          <w:rFonts w:ascii="Calibri" w:hAnsi="Calibri" w:cs="Calibri"/>
        </w:rPr>
        <w:t xml:space="preserve">learn from some initial experiences with EVs in other SIDS, particularly in the Caribbean. </w:t>
      </w:r>
      <w:r w:rsidR="00C455E7">
        <w:rPr>
          <w:rFonts w:ascii="Calibri" w:hAnsi="Calibri" w:cs="Calibri"/>
        </w:rPr>
        <w:t xml:space="preserve">This can be facilitated through the GN-SEC and SIDS DOCK. </w:t>
      </w:r>
    </w:p>
    <w:p w14:paraId="5B297283" w14:textId="77777777" w:rsidR="0018174D" w:rsidRDefault="0018174D" w:rsidP="00FF7D24">
      <w:pPr>
        <w:pStyle w:val="ListParagraph"/>
        <w:numPr>
          <w:ilvl w:val="0"/>
          <w:numId w:val="3"/>
        </w:numPr>
        <w:spacing w:before="120" w:after="120" w:line="216" w:lineRule="auto"/>
        <w:ind w:hanging="357"/>
        <w:rPr>
          <w:rFonts w:ascii="Calibri" w:hAnsi="Calibri" w:cs="Calibri"/>
        </w:rPr>
      </w:pPr>
      <w:r w:rsidRPr="00B02A4A">
        <w:rPr>
          <w:rFonts w:ascii="Calibri" w:hAnsi="Calibri" w:cs="Calibri"/>
        </w:rPr>
        <w:t xml:space="preserve">PICTs </w:t>
      </w:r>
      <w:r w:rsidR="00372475">
        <w:rPr>
          <w:rFonts w:ascii="Calibri" w:hAnsi="Calibri" w:cs="Calibri"/>
        </w:rPr>
        <w:t xml:space="preserve">are better positioned to </w:t>
      </w:r>
      <w:r w:rsidR="00E163D7" w:rsidRPr="00B02A4A">
        <w:rPr>
          <w:rFonts w:ascii="Calibri" w:hAnsi="Calibri" w:cs="Calibri"/>
        </w:rPr>
        <w:t xml:space="preserve">be </w:t>
      </w:r>
      <w:r w:rsidRPr="00B02A4A">
        <w:rPr>
          <w:rFonts w:ascii="Calibri" w:hAnsi="Calibri" w:cs="Calibri"/>
        </w:rPr>
        <w:t>followers of “global” EV technology and</w:t>
      </w:r>
      <w:r w:rsidR="00E163D7" w:rsidRPr="00B02A4A">
        <w:rPr>
          <w:rFonts w:ascii="Calibri" w:hAnsi="Calibri" w:cs="Calibri"/>
        </w:rPr>
        <w:t>,</w:t>
      </w:r>
      <w:r w:rsidRPr="00B02A4A">
        <w:rPr>
          <w:rFonts w:ascii="Calibri" w:hAnsi="Calibri" w:cs="Calibri"/>
        </w:rPr>
        <w:t xml:space="preserve"> in many circumstances</w:t>
      </w:r>
      <w:r w:rsidR="00E163D7" w:rsidRPr="00B02A4A">
        <w:rPr>
          <w:rFonts w:ascii="Calibri" w:hAnsi="Calibri" w:cs="Calibri"/>
        </w:rPr>
        <w:t>,</w:t>
      </w:r>
      <w:r w:rsidRPr="00B02A4A">
        <w:rPr>
          <w:rFonts w:ascii="Calibri" w:hAnsi="Calibri" w:cs="Calibri"/>
        </w:rPr>
        <w:t xml:space="preserve"> should be able to adapt guidelines and standards </w:t>
      </w:r>
      <w:r w:rsidR="009454B7">
        <w:rPr>
          <w:rFonts w:ascii="Calibri" w:hAnsi="Calibri" w:cs="Calibri"/>
        </w:rPr>
        <w:t xml:space="preserve">already </w:t>
      </w:r>
      <w:r w:rsidRPr="00B02A4A">
        <w:rPr>
          <w:rFonts w:ascii="Calibri" w:hAnsi="Calibri" w:cs="Calibri"/>
        </w:rPr>
        <w:t>in place in other countries, limiting any new</w:t>
      </w:r>
      <w:r w:rsidR="00E163D7" w:rsidRPr="00B02A4A">
        <w:rPr>
          <w:rFonts w:ascii="Calibri" w:hAnsi="Calibri" w:cs="Calibri"/>
        </w:rPr>
        <w:t xml:space="preserve"> </w:t>
      </w:r>
      <w:r w:rsidRPr="00B02A4A">
        <w:rPr>
          <w:rFonts w:ascii="Calibri" w:hAnsi="Calibri" w:cs="Calibri"/>
        </w:rPr>
        <w:t xml:space="preserve">work or </w:t>
      </w:r>
      <w:r w:rsidR="00E163D7" w:rsidRPr="00B02A4A">
        <w:rPr>
          <w:rFonts w:ascii="Calibri" w:hAnsi="Calibri" w:cs="Calibri"/>
        </w:rPr>
        <w:t xml:space="preserve">novel </w:t>
      </w:r>
      <w:r w:rsidRPr="00B02A4A">
        <w:rPr>
          <w:rFonts w:ascii="Calibri" w:hAnsi="Calibri" w:cs="Calibri"/>
        </w:rPr>
        <w:t xml:space="preserve">systems that </w:t>
      </w:r>
      <w:r w:rsidR="00E163D7" w:rsidRPr="00B02A4A">
        <w:rPr>
          <w:rFonts w:ascii="Calibri" w:hAnsi="Calibri" w:cs="Calibri"/>
        </w:rPr>
        <w:t xml:space="preserve">may </w:t>
      </w:r>
      <w:r w:rsidR="009454B7">
        <w:rPr>
          <w:rFonts w:ascii="Calibri" w:hAnsi="Calibri" w:cs="Calibri"/>
        </w:rPr>
        <w:t xml:space="preserve">otherwise </w:t>
      </w:r>
      <w:r w:rsidRPr="00B02A4A">
        <w:rPr>
          <w:rFonts w:ascii="Calibri" w:hAnsi="Calibri" w:cs="Calibri"/>
        </w:rPr>
        <w:t>require to be developed. As examples, the New Zealand Government’s Energy Efficiency and Conservation Authority has published guidance on purchasing EVs</w:t>
      </w:r>
      <w:r w:rsidRPr="00FE0F6C">
        <w:rPr>
          <w:rStyle w:val="FootnoteReference"/>
          <w:rFonts w:ascii="Calibri" w:hAnsi="Calibri" w:cs="Calibri"/>
        </w:rPr>
        <w:footnoteReference w:id="5"/>
      </w:r>
      <w:r w:rsidRPr="00B02A4A">
        <w:rPr>
          <w:rFonts w:ascii="Calibri" w:hAnsi="Calibri" w:cs="Calibri"/>
        </w:rPr>
        <w:t xml:space="preserve"> through to charging them</w:t>
      </w:r>
      <w:r w:rsidRPr="00FE0F6C">
        <w:rPr>
          <w:rStyle w:val="FootnoteReference"/>
          <w:rFonts w:ascii="Calibri" w:hAnsi="Calibri" w:cs="Calibri"/>
        </w:rPr>
        <w:footnoteReference w:id="6"/>
      </w:r>
      <w:r w:rsidRPr="00B02A4A">
        <w:rPr>
          <w:rFonts w:ascii="Calibri" w:hAnsi="Calibri" w:cs="Calibri"/>
        </w:rPr>
        <w:t>, and the International Council on Clean Technologies (ICCT) has recently published the “Electric Vehicle Guidebook for India States</w:t>
      </w:r>
      <w:r w:rsidR="00E163D7" w:rsidRPr="00B02A4A">
        <w:rPr>
          <w:rFonts w:ascii="Calibri" w:hAnsi="Calibri" w:cs="Calibri"/>
        </w:rPr>
        <w:t>”</w:t>
      </w:r>
      <w:r w:rsidRPr="00FE0F6C">
        <w:rPr>
          <w:rStyle w:val="FootnoteReference"/>
          <w:rFonts w:ascii="Calibri" w:hAnsi="Calibri" w:cs="Calibri"/>
        </w:rPr>
        <w:footnoteReference w:id="7"/>
      </w:r>
      <w:r w:rsidRPr="00B02A4A">
        <w:rPr>
          <w:rFonts w:ascii="Calibri" w:hAnsi="Calibri" w:cs="Calibri"/>
        </w:rPr>
        <w:t xml:space="preserve"> all of which could be adapted into PICT-relevant information.</w:t>
      </w:r>
    </w:p>
    <w:p w14:paraId="038FD6BF" w14:textId="77777777" w:rsidR="005A242A" w:rsidRDefault="006E1A22" w:rsidP="00FF7D24">
      <w:pPr>
        <w:pStyle w:val="ListParagraph"/>
        <w:numPr>
          <w:ilvl w:val="0"/>
          <w:numId w:val="3"/>
        </w:numPr>
        <w:spacing w:before="120" w:after="120" w:line="216" w:lineRule="auto"/>
        <w:ind w:hanging="357"/>
        <w:rPr>
          <w:rFonts w:ascii="Calibri" w:hAnsi="Calibri" w:cs="Calibri"/>
        </w:rPr>
      </w:pPr>
      <w:r>
        <w:rPr>
          <w:rFonts w:ascii="Calibri" w:hAnsi="Calibri" w:cs="Calibri"/>
        </w:rPr>
        <w:t>But</w:t>
      </w:r>
      <w:r w:rsidR="0018174D" w:rsidRPr="00FE0F6C">
        <w:rPr>
          <w:rFonts w:ascii="Calibri" w:hAnsi="Calibri" w:cs="Calibri"/>
        </w:rPr>
        <w:t xml:space="preserve"> on that note, particular care is required to ensure that polices borrowed from overseas are suited to the PICT environment, and to ensure that policy is developed from evidence.</w:t>
      </w:r>
    </w:p>
    <w:p w14:paraId="31AC3103" w14:textId="739D82E7" w:rsidR="00BB2EE8" w:rsidRDefault="00BB2EE8" w:rsidP="00FF7D24">
      <w:pPr>
        <w:pStyle w:val="ListParagraph"/>
        <w:numPr>
          <w:ilvl w:val="0"/>
          <w:numId w:val="3"/>
        </w:numPr>
        <w:spacing w:before="120" w:after="120" w:line="216" w:lineRule="auto"/>
        <w:ind w:hanging="357"/>
        <w:rPr>
          <w:rFonts w:ascii="Calibri" w:hAnsi="Calibri" w:cs="Calibri"/>
        </w:rPr>
      </w:pPr>
      <w:bookmarkStart w:id="9" w:name="_Hlk34228837"/>
      <w:r w:rsidRPr="00FE0F6C">
        <w:rPr>
          <w:rFonts w:ascii="Calibri" w:hAnsi="Calibri" w:cs="Calibri"/>
        </w:rPr>
        <w:t xml:space="preserve">There are some people based in the PICT region </w:t>
      </w:r>
      <w:r w:rsidR="00E163D7">
        <w:rPr>
          <w:rFonts w:ascii="Calibri" w:hAnsi="Calibri" w:cs="Calibri"/>
        </w:rPr>
        <w:t>who</w:t>
      </w:r>
      <w:r w:rsidR="00E163D7" w:rsidRPr="00FE0F6C">
        <w:rPr>
          <w:rFonts w:ascii="Calibri" w:hAnsi="Calibri" w:cs="Calibri"/>
        </w:rPr>
        <w:t xml:space="preserve"> </w:t>
      </w:r>
      <w:r w:rsidRPr="00FE0F6C">
        <w:rPr>
          <w:rFonts w:ascii="Calibri" w:hAnsi="Calibri" w:cs="Calibri"/>
        </w:rPr>
        <w:t>are respected experts in their transport</w:t>
      </w:r>
      <w:r w:rsidR="004E03C7">
        <w:rPr>
          <w:rFonts w:ascii="Calibri" w:hAnsi="Calibri" w:cs="Calibri"/>
        </w:rPr>
        <w:t>-related</w:t>
      </w:r>
      <w:r w:rsidRPr="00FE0F6C">
        <w:rPr>
          <w:rFonts w:ascii="Calibri" w:hAnsi="Calibri" w:cs="Calibri"/>
        </w:rPr>
        <w:t xml:space="preserve"> field and it would pay to encourage at least some of these to become the “Regional Expert</w:t>
      </w:r>
      <w:r w:rsidR="00E163D7">
        <w:rPr>
          <w:rFonts w:ascii="Calibri" w:hAnsi="Calibri" w:cs="Calibri"/>
        </w:rPr>
        <w:t>s</w:t>
      </w:r>
      <w:r w:rsidRPr="00FE0F6C">
        <w:rPr>
          <w:rFonts w:ascii="Calibri" w:hAnsi="Calibri" w:cs="Calibri"/>
        </w:rPr>
        <w:t xml:space="preserve">” on EVs in their field. For example, </w:t>
      </w:r>
      <w:r w:rsidR="009454B7">
        <w:rPr>
          <w:rFonts w:ascii="Calibri" w:hAnsi="Calibri" w:cs="Calibri"/>
        </w:rPr>
        <w:t xml:space="preserve">an advisor to the Federal States of Micronesia </w:t>
      </w:r>
      <w:r w:rsidRPr="00FE0F6C">
        <w:rPr>
          <w:rFonts w:ascii="Calibri" w:hAnsi="Calibri" w:cs="Calibri"/>
        </w:rPr>
        <w:t xml:space="preserve">is a recognised </w:t>
      </w:r>
      <w:r w:rsidR="009454B7">
        <w:rPr>
          <w:rFonts w:ascii="Calibri" w:hAnsi="Calibri" w:cs="Calibri"/>
        </w:rPr>
        <w:t>authority</w:t>
      </w:r>
      <w:r w:rsidR="009454B7" w:rsidRPr="00FE0F6C">
        <w:rPr>
          <w:rFonts w:ascii="Calibri" w:hAnsi="Calibri" w:cs="Calibri"/>
        </w:rPr>
        <w:t xml:space="preserve"> </w:t>
      </w:r>
      <w:r w:rsidRPr="00FE0F6C">
        <w:rPr>
          <w:rFonts w:ascii="Calibri" w:hAnsi="Calibri" w:cs="Calibri"/>
        </w:rPr>
        <w:t xml:space="preserve">on marine vessels and </w:t>
      </w:r>
      <w:r w:rsidR="009454B7">
        <w:rPr>
          <w:rFonts w:ascii="Calibri" w:hAnsi="Calibri" w:cs="Calibri"/>
        </w:rPr>
        <w:t xml:space="preserve">is a worthy </w:t>
      </w:r>
      <w:r w:rsidRPr="00FE0F6C">
        <w:rPr>
          <w:rFonts w:ascii="Calibri" w:hAnsi="Calibri" w:cs="Calibri"/>
        </w:rPr>
        <w:t xml:space="preserve">candidate to consider supporting </w:t>
      </w:r>
      <w:r w:rsidR="00E163D7">
        <w:rPr>
          <w:rFonts w:ascii="Calibri" w:hAnsi="Calibri" w:cs="Calibri"/>
        </w:rPr>
        <w:t xml:space="preserve">in work </w:t>
      </w:r>
      <w:r w:rsidRPr="00FE0F6C">
        <w:rPr>
          <w:rFonts w:ascii="Calibri" w:hAnsi="Calibri" w:cs="Calibri"/>
        </w:rPr>
        <w:t>to develop regional expertise on the electrification of marine vessels.</w:t>
      </w:r>
      <w:r w:rsidR="00372475">
        <w:rPr>
          <w:rFonts w:ascii="Calibri" w:hAnsi="Calibri" w:cs="Calibri"/>
        </w:rPr>
        <w:t xml:space="preserve"> Similar positions to cater for heavy-vehicle electrification, EV servicing, and others, would be beneficial to the region. </w:t>
      </w:r>
    </w:p>
    <w:p w14:paraId="16F4996A" w14:textId="094850DC" w:rsidR="00AD483F" w:rsidRDefault="009454B7" w:rsidP="00FF7D24">
      <w:pPr>
        <w:pStyle w:val="ListParagraph"/>
        <w:numPr>
          <w:ilvl w:val="0"/>
          <w:numId w:val="3"/>
        </w:numPr>
        <w:spacing w:before="120" w:after="120" w:line="216" w:lineRule="auto"/>
        <w:ind w:hanging="357"/>
        <w:rPr>
          <w:rFonts w:ascii="Calibri" w:hAnsi="Calibri" w:cs="Calibri"/>
        </w:rPr>
      </w:pPr>
      <w:r>
        <w:rPr>
          <w:rFonts w:ascii="Calibri" w:hAnsi="Calibri" w:cs="Calibri"/>
        </w:rPr>
        <w:t>I</w:t>
      </w:r>
      <w:r w:rsidR="00AD483F" w:rsidRPr="00FE0F6C">
        <w:rPr>
          <w:rFonts w:ascii="Calibri" w:hAnsi="Calibri" w:cs="Calibri"/>
        </w:rPr>
        <w:t xml:space="preserve">nitiatives </w:t>
      </w:r>
      <w:r>
        <w:rPr>
          <w:rFonts w:ascii="Calibri" w:hAnsi="Calibri" w:cs="Calibri"/>
        </w:rPr>
        <w:t xml:space="preserve">in PICTs </w:t>
      </w:r>
      <w:r w:rsidR="00AD483F" w:rsidRPr="00FE0F6C">
        <w:rPr>
          <w:rFonts w:ascii="Calibri" w:hAnsi="Calibri" w:cs="Calibri"/>
        </w:rPr>
        <w:t xml:space="preserve">appear to work best when </w:t>
      </w:r>
      <w:r w:rsidR="003630A1">
        <w:rPr>
          <w:rFonts w:ascii="Calibri" w:hAnsi="Calibri" w:cs="Calibri"/>
        </w:rPr>
        <w:t xml:space="preserve">there is local buy-in and they are </w:t>
      </w:r>
      <w:r w:rsidR="00AD483F" w:rsidRPr="00FE0F6C">
        <w:rPr>
          <w:rFonts w:ascii="Calibri" w:hAnsi="Calibri" w:cs="Calibri"/>
        </w:rPr>
        <w:t xml:space="preserve">supported locally, rather than being </w:t>
      </w:r>
      <w:r w:rsidR="003630A1">
        <w:rPr>
          <w:rFonts w:ascii="Calibri" w:hAnsi="Calibri" w:cs="Calibri"/>
        </w:rPr>
        <w:t xml:space="preserve">top-down </w:t>
      </w:r>
      <w:r w:rsidR="00AD483F" w:rsidRPr="00FE0F6C">
        <w:rPr>
          <w:rFonts w:ascii="Calibri" w:hAnsi="Calibri" w:cs="Calibri"/>
        </w:rPr>
        <w:t>driven from a regional hub. Yet a regional hub is expected to provide efficiencies through avoiding duplication of effort, providing valuable communication links between interested parties and projects, etc.</w:t>
      </w:r>
      <w:r w:rsidR="004E03C7">
        <w:rPr>
          <w:rFonts w:ascii="Calibri" w:hAnsi="Calibri" w:cs="Calibri"/>
        </w:rPr>
        <w:t xml:space="preserve"> (including spear-heading SIDS-SIDS coopera</w:t>
      </w:r>
      <w:r w:rsidR="004E287F">
        <w:rPr>
          <w:rFonts w:ascii="Calibri" w:hAnsi="Calibri" w:cs="Calibri"/>
        </w:rPr>
        <w:t>ti</w:t>
      </w:r>
      <w:r w:rsidR="006E4BC9">
        <w:rPr>
          <w:rFonts w:ascii="Calibri" w:hAnsi="Calibri" w:cs="Calibri"/>
        </w:rPr>
        <w:t>on</w:t>
      </w:r>
      <w:r w:rsidR="004E287F">
        <w:rPr>
          <w:rFonts w:ascii="Calibri" w:hAnsi="Calibri" w:cs="Calibri"/>
        </w:rPr>
        <w:t xml:space="preserve"> initiatives</w:t>
      </w:r>
      <w:r w:rsidR="004E03C7">
        <w:rPr>
          <w:rFonts w:ascii="Calibri" w:hAnsi="Calibri" w:cs="Calibri"/>
        </w:rPr>
        <w:t>).</w:t>
      </w:r>
      <w:r w:rsidR="00AD483F" w:rsidRPr="00FE0F6C">
        <w:rPr>
          <w:rFonts w:ascii="Calibri" w:hAnsi="Calibri" w:cs="Calibri"/>
        </w:rPr>
        <w:t xml:space="preserve"> Hence a combination of PICT-based representatives and a </w:t>
      </w:r>
      <w:r w:rsidR="00372475">
        <w:rPr>
          <w:rFonts w:ascii="Calibri" w:hAnsi="Calibri" w:cs="Calibri"/>
        </w:rPr>
        <w:t>r</w:t>
      </w:r>
      <w:r w:rsidR="00AD483F" w:rsidRPr="00FE0F6C">
        <w:rPr>
          <w:rFonts w:ascii="Calibri" w:hAnsi="Calibri" w:cs="Calibri"/>
        </w:rPr>
        <w:t xml:space="preserve">egional </w:t>
      </w:r>
      <w:r w:rsidR="00372475">
        <w:rPr>
          <w:rFonts w:ascii="Calibri" w:hAnsi="Calibri" w:cs="Calibri"/>
        </w:rPr>
        <w:t>h</w:t>
      </w:r>
      <w:r w:rsidR="00AD483F" w:rsidRPr="00FE0F6C">
        <w:rPr>
          <w:rFonts w:ascii="Calibri" w:hAnsi="Calibri" w:cs="Calibri"/>
        </w:rPr>
        <w:t xml:space="preserve">ub appears sensible. </w:t>
      </w:r>
    </w:p>
    <w:p w14:paraId="0B136464" w14:textId="012D7F91" w:rsidR="00313828" w:rsidRDefault="00AD483F" w:rsidP="00FF7D24">
      <w:pPr>
        <w:pStyle w:val="ListParagraph"/>
        <w:numPr>
          <w:ilvl w:val="0"/>
          <w:numId w:val="3"/>
        </w:numPr>
        <w:spacing w:before="120" w:after="120" w:line="216" w:lineRule="auto"/>
        <w:ind w:hanging="357"/>
        <w:rPr>
          <w:rFonts w:ascii="Calibri" w:hAnsi="Calibri" w:cs="Calibri"/>
        </w:rPr>
      </w:pPr>
      <w:r w:rsidRPr="00FE0F6C">
        <w:rPr>
          <w:rFonts w:ascii="Calibri" w:hAnsi="Calibri" w:cs="Calibri"/>
        </w:rPr>
        <w:t xml:space="preserve">Looking </w:t>
      </w:r>
      <w:r w:rsidR="007859EB" w:rsidRPr="00FE0F6C">
        <w:rPr>
          <w:rFonts w:ascii="Calibri" w:hAnsi="Calibri" w:cs="Calibri"/>
        </w:rPr>
        <w:t xml:space="preserve">at possible </w:t>
      </w:r>
      <w:r w:rsidR="003630A1">
        <w:rPr>
          <w:rFonts w:ascii="Calibri" w:hAnsi="Calibri" w:cs="Calibri"/>
        </w:rPr>
        <w:t xml:space="preserve">hosts of the EV Program in </w:t>
      </w:r>
      <w:r w:rsidR="007859EB" w:rsidRPr="00FE0F6C">
        <w:rPr>
          <w:rFonts w:ascii="Calibri" w:hAnsi="Calibri" w:cs="Calibri"/>
        </w:rPr>
        <w:t xml:space="preserve">the </w:t>
      </w:r>
      <w:r w:rsidRPr="00FE0F6C">
        <w:rPr>
          <w:rFonts w:ascii="Calibri" w:hAnsi="Calibri" w:cs="Calibri"/>
        </w:rPr>
        <w:t>individual PICT</w:t>
      </w:r>
      <w:r w:rsidR="007859EB" w:rsidRPr="00FE0F6C">
        <w:rPr>
          <w:rFonts w:ascii="Calibri" w:hAnsi="Calibri" w:cs="Calibri"/>
        </w:rPr>
        <w:t xml:space="preserve">s, these might be the offices of the energy or transport ministries. </w:t>
      </w:r>
      <w:bookmarkEnd w:id="9"/>
      <w:r w:rsidR="0018174D" w:rsidRPr="00FE0F6C">
        <w:rPr>
          <w:rFonts w:ascii="Calibri" w:hAnsi="Calibri" w:cs="Calibri"/>
        </w:rPr>
        <w:t>Many PICTs have separate energy and transport ministries. EVs and the</w:t>
      </w:r>
      <w:r w:rsidR="00E163D7">
        <w:rPr>
          <w:rFonts w:ascii="Calibri" w:hAnsi="Calibri" w:cs="Calibri"/>
        </w:rPr>
        <w:t>ir</w:t>
      </w:r>
      <w:r w:rsidR="0018174D" w:rsidRPr="00FE0F6C">
        <w:rPr>
          <w:rFonts w:ascii="Calibri" w:hAnsi="Calibri" w:cs="Calibri"/>
        </w:rPr>
        <w:t xml:space="preserve"> charging straddle both </w:t>
      </w:r>
      <w:r w:rsidR="00E163D7">
        <w:rPr>
          <w:rFonts w:ascii="Calibri" w:hAnsi="Calibri" w:cs="Calibri"/>
        </w:rPr>
        <w:t>portfolios</w:t>
      </w:r>
      <w:r w:rsidR="0018174D" w:rsidRPr="00FE0F6C">
        <w:rPr>
          <w:rFonts w:ascii="Calibri" w:hAnsi="Calibri" w:cs="Calibri"/>
        </w:rPr>
        <w:t xml:space="preserve"> and </w:t>
      </w:r>
      <w:r w:rsidR="007859EB" w:rsidRPr="00FE0F6C">
        <w:rPr>
          <w:rFonts w:ascii="Calibri" w:hAnsi="Calibri" w:cs="Calibri"/>
        </w:rPr>
        <w:t xml:space="preserve">will </w:t>
      </w:r>
      <w:r w:rsidR="0018174D" w:rsidRPr="00FE0F6C">
        <w:rPr>
          <w:rFonts w:ascii="Calibri" w:hAnsi="Calibri" w:cs="Calibri"/>
        </w:rPr>
        <w:t>require participation by both</w:t>
      </w:r>
      <w:r w:rsidR="00E163D7">
        <w:rPr>
          <w:rFonts w:ascii="Calibri" w:hAnsi="Calibri" w:cs="Calibri"/>
        </w:rPr>
        <w:t xml:space="preserve"> ministries</w:t>
      </w:r>
      <w:r w:rsidR="007859EB" w:rsidRPr="00FE0F6C">
        <w:rPr>
          <w:rFonts w:ascii="Calibri" w:hAnsi="Calibri" w:cs="Calibri"/>
        </w:rPr>
        <w:t xml:space="preserve">. Where these are separate, </w:t>
      </w:r>
      <w:r w:rsidR="0018174D" w:rsidRPr="00FE0F6C">
        <w:rPr>
          <w:rFonts w:ascii="Calibri" w:hAnsi="Calibri" w:cs="Calibri"/>
        </w:rPr>
        <w:t xml:space="preserve">good communication </w:t>
      </w:r>
      <w:r w:rsidR="003630A1">
        <w:rPr>
          <w:rFonts w:ascii="Calibri" w:hAnsi="Calibri" w:cs="Calibri"/>
        </w:rPr>
        <w:t xml:space="preserve">and coordination </w:t>
      </w:r>
      <w:r w:rsidR="0018174D" w:rsidRPr="00FE0F6C">
        <w:rPr>
          <w:rFonts w:ascii="Calibri" w:hAnsi="Calibri" w:cs="Calibri"/>
        </w:rPr>
        <w:t>between them</w:t>
      </w:r>
      <w:r w:rsidR="009454B7">
        <w:rPr>
          <w:rFonts w:ascii="Calibri" w:hAnsi="Calibri" w:cs="Calibri"/>
        </w:rPr>
        <w:t xml:space="preserve"> will be essential.</w:t>
      </w:r>
      <w:r w:rsidR="0018174D" w:rsidRPr="00FE0F6C">
        <w:rPr>
          <w:rFonts w:ascii="Calibri" w:hAnsi="Calibri" w:cs="Calibri"/>
        </w:rPr>
        <w:t xml:space="preserve"> </w:t>
      </w:r>
    </w:p>
    <w:p w14:paraId="2F58C679" w14:textId="4983938D" w:rsidR="00D65C3E" w:rsidRDefault="00D65C3E" w:rsidP="00FF7D24">
      <w:pPr>
        <w:pStyle w:val="ListParagraph"/>
        <w:numPr>
          <w:ilvl w:val="0"/>
          <w:numId w:val="3"/>
        </w:numPr>
        <w:spacing w:before="120" w:after="120" w:line="216" w:lineRule="auto"/>
        <w:ind w:hanging="357"/>
        <w:rPr>
          <w:rFonts w:ascii="Calibri" w:hAnsi="Calibri" w:cs="Calibri"/>
        </w:rPr>
      </w:pPr>
      <w:r w:rsidRPr="00FE0F6C">
        <w:rPr>
          <w:rFonts w:ascii="Calibri" w:hAnsi="Calibri" w:cs="Calibri"/>
        </w:rPr>
        <w:t>Roll</w:t>
      </w:r>
      <w:r w:rsidR="00E163D7">
        <w:rPr>
          <w:rFonts w:ascii="Calibri" w:hAnsi="Calibri" w:cs="Calibri"/>
        </w:rPr>
        <w:t>-</w:t>
      </w:r>
      <w:r w:rsidRPr="00FE0F6C">
        <w:rPr>
          <w:rFonts w:ascii="Calibri" w:hAnsi="Calibri" w:cs="Calibri"/>
        </w:rPr>
        <w:t xml:space="preserve">out of a coordinated EV package of activities would best </w:t>
      </w:r>
      <w:r w:rsidR="009454B7">
        <w:rPr>
          <w:rFonts w:ascii="Calibri" w:hAnsi="Calibri" w:cs="Calibri"/>
        </w:rPr>
        <w:t xml:space="preserve">be </w:t>
      </w:r>
      <w:r w:rsidRPr="00FE0F6C">
        <w:rPr>
          <w:rFonts w:ascii="Calibri" w:hAnsi="Calibri" w:cs="Calibri"/>
        </w:rPr>
        <w:t>supported by donor contributions, and it w</w:t>
      </w:r>
      <w:r w:rsidR="0018174D" w:rsidRPr="00FE0F6C">
        <w:rPr>
          <w:rFonts w:ascii="Calibri" w:hAnsi="Calibri" w:cs="Calibri"/>
        </w:rPr>
        <w:t>ill</w:t>
      </w:r>
      <w:r w:rsidRPr="00FE0F6C">
        <w:rPr>
          <w:rFonts w:ascii="Calibri" w:hAnsi="Calibri" w:cs="Calibri"/>
        </w:rPr>
        <w:t xml:space="preserve"> be important to gain the support </w:t>
      </w:r>
      <w:r w:rsidR="00825562" w:rsidRPr="00FE0F6C">
        <w:rPr>
          <w:rFonts w:ascii="Calibri" w:hAnsi="Calibri" w:cs="Calibri"/>
        </w:rPr>
        <w:t xml:space="preserve">of potential donors </w:t>
      </w:r>
      <w:r w:rsidRPr="00FE0F6C">
        <w:rPr>
          <w:rFonts w:ascii="Calibri" w:hAnsi="Calibri" w:cs="Calibri"/>
        </w:rPr>
        <w:t xml:space="preserve">from the start. </w:t>
      </w:r>
      <w:r w:rsidRPr="00FE0F6C">
        <w:rPr>
          <w:rFonts w:ascii="Calibri" w:hAnsi="Calibri" w:cs="Calibri"/>
        </w:rPr>
        <w:lastRenderedPageBreak/>
        <w:t>Early involvement of organisations such as the Pacific Regional Infrastructure Facility (PRIF</w:t>
      </w:r>
      <w:r w:rsidR="00E163D7">
        <w:rPr>
          <w:rFonts w:ascii="Calibri" w:hAnsi="Calibri" w:cs="Calibri"/>
        </w:rPr>
        <w:t>:</w:t>
      </w:r>
      <w:r w:rsidRPr="00FE0F6C">
        <w:rPr>
          <w:rFonts w:ascii="Calibri" w:hAnsi="Calibri" w:cs="Calibri"/>
        </w:rPr>
        <w:t xml:space="preserve"> made up of a membership of eight donor organisations) </w:t>
      </w:r>
      <w:r w:rsidR="00BB2EE8" w:rsidRPr="00FE0F6C">
        <w:rPr>
          <w:rFonts w:ascii="Calibri" w:hAnsi="Calibri" w:cs="Calibri"/>
        </w:rPr>
        <w:t xml:space="preserve">and the </w:t>
      </w:r>
      <w:r w:rsidR="003630A1">
        <w:rPr>
          <w:rFonts w:ascii="Calibri" w:hAnsi="Calibri" w:cs="Calibri"/>
        </w:rPr>
        <w:t>Green Climate Fund (GCF)</w:t>
      </w:r>
      <w:r w:rsidR="00BB2EE8" w:rsidRPr="00FE0F6C">
        <w:rPr>
          <w:rFonts w:ascii="Calibri" w:hAnsi="Calibri" w:cs="Calibri"/>
        </w:rPr>
        <w:t xml:space="preserve"> </w:t>
      </w:r>
      <w:r w:rsidRPr="00FE0F6C">
        <w:rPr>
          <w:rFonts w:ascii="Calibri" w:hAnsi="Calibri" w:cs="Calibri"/>
        </w:rPr>
        <w:t xml:space="preserve">is recommended in this regard.  </w:t>
      </w:r>
    </w:p>
    <w:p w14:paraId="45477F34" w14:textId="08319777" w:rsidR="0018174D" w:rsidRDefault="0018174D" w:rsidP="00FF7D24">
      <w:pPr>
        <w:pStyle w:val="ListParagraph"/>
        <w:numPr>
          <w:ilvl w:val="0"/>
          <w:numId w:val="3"/>
        </w:numPr>
        <w:spacing w:before="120" w:after="120" w:line="216" w:lineRule="auto"/>
        <w:ind w:hanging="357"/>
        <w:rPr>
          <w:rFonts w:ascii="Calibri" w:hAnsi="Calibri" w:cs="Calibri"/>
        </w:rPr>
      </w:pPr>
      <w:r w:rsidRPr="00FE0F6C">
        <w:rPr>
          <w:rFonts w:ascii="Calibri" w:hAnsi="Calibri" w:cs="Calibri"/>
        </w:rPr>
        <w:t>There are several regional frameworks already in place across PICTs. Experience from these frameworks suggest</w:t>
      </w:r>
      <w:r w:rsidR="00E163D7">
        <w:rPr>
          <w:rFonts w:ascii="Calibri" w:hAnsi="Calibri" w:cs="Calibri"/>
        </w:rPr>
        <w:t>s</w:t>
      </w:r>
      <w:r w:rsidRPr="00FE0F6C">
        <w:rPr>
          <w:rFonts w:ascii="Calibri" w:hAnsi="Calibri" w:cs="Calibri"/>
        </w:rPr>
        <w:t xml:space="preserve"> that, in general, the anticipated high level of coordination, cooperation and collaboration hoped for from working to frameworks has not been realised</w:t>
      </w:r>
      <w:r w:rsidR="00E163D7">
        <w:rPr>
          <w:rFonts w:ascii="Calibri" w:hAnsi="Calibri" w:cs="Calibri"/>
        </w:rPr>
        <w:t>.</w:t>
      </w:r>
      <w:r w:rsidRPr="00FE0F6C">
        <w:rPr>
          <w:rStyle w:val="FootnoteReference"/>
          <w:rFonts w:ascii="Calibri" w:hAnsi="Calibri" w:cs="Calibri"/>
        </w:rPr>
        <w:footnoteReference w:id="8"/>
      </w:r>
      <w:r w:rsidRPr="00FE0F6C">
        <w:rPr>
          <w:rFonts w:ascii="Calibri" w:hAnsi="Calibri" w:cs="Calibri"/>
        </w:rPr>
        <w:t xml:space="preserve"> Care will be required to ensure that a </w:t>
      </w:r>
      <w:r w:rsidR="00372475">
        <w:rPr>
          <w:rFonts w:ascii="Calibri" w:hAnsi="Calibri" w:cs="Calibri"/>
        </w:rPr>
        <w:t>r</w:t>
      </w:r>
      <w:r w:rsidRPr="00FE0F6C">
        <w:rPr>
          <w:rFonts w:ascii="Calibri" w:hAnsi="Calibri" w:cs="Calibri"/>
        </w:rPr>
        <w:t xml:space="preserve">egional EV </w:t>
      </w:r>
      <w:r w:rsidR="00372475">
        <w:rPr>
          <w:rFonts w:ascii="Calibri" w:hAnsi="Calibri" w:cs="Calibri"/>
        </w:rPr>
        <w:t>h</w:t>
      </w:r>
      <w:r w:rsidRPr="00FE0F6C">
        <w:rPr>
          <w:rFonts w:ascii="Calibri" w:hAnsi="Calibri" w:cs="Calibri"/>
        </w:rPr>
        <w:t>ub does not suffer the same fate. Care will also be required if aligning with another framework</w:t>
      </w:r>
      <w:r w:rsidR="00E163D7">
        <w:rPr>
          <w:rFonts w:ascii="Calibri" w:hAnsi="Calibri" w:cs="Calibri"/>
        </w:rPr>
        <w:t>:</w:t>
      </w:r>
      <w:r w:rsidRPr="00FE0F6C">
        <w:rPr>
          <w:rFonts w:ascii="Calibri" w:hAnsi="Calibri" w:cs="Calibri"/>
        </w:rPr>
        <w:t xml:space="preserve"> </w:t>
      </w:r>
      <w:r w:rsidR="009454B7">
        <w:rPr>
          <w:rFonts w:ascii="Calibri" w:hAnsi="Calibri" w:cs="Calibri"/>
        </w:rPr>
        <w:t xml:space="preserve">if, </w:t>
      </w:r>
      <w:r w:rsidRPr="00FE0F6C">
        <w:rPr>
          <w:rFonts w:ascii="Calibri" w:hAnsi="Calibri" w:cs="Calibri"/>
        </w:rPr>
        <w:t>for example, an existing monitoring and evaluation system</w:t>
      </w:r>
      <w:r w:rsidR="009454B7">
        <w:rPr>
          <w:rFonts w:ascii="Calibri" w:hAnsi="Calibri" w:cs="Calibri"/>
        </w:rPr>
        <w:t xml:space="preserve"> was used</w:t>
      </w:r>
      <w:r w:rsidR="00987C6F">
        <w:rPr>
          <w:rFonts w:ascii="Calibri" w:hAnsi="Calibri" w:cs="Calibri"/>
        </w:rPr>
        <w:t xml:space="preserve"> (as is recommended)</w:t>
      </w:r>
      <w:r w:rsidRPr="00FE0F6C">
        <w:rPr>
          <w:rFonts w:ascii="Calibri" w:hAnsi="Calibri" w:cs="Calibri"/>
        </w:rPr>
        <w:t xml:space="preserve">, </w:t>
      </w:r>
      <w:r w:rsidR="009454B7">
        <w:rPr>
          <w:rFonts w:ascii="Calibri" w:hAnsi="Calibri" w:cs="Calibri"/>
        </w:rPr>
        <w:t xml:space="preserve">it must be ensured that </w:t>
      </w:r>
      <w:r w:rsidR="00987C6F">
        <w:rPr>
          <w:rFonts w:ascii="Calibri" w:hAnsi="Calibri" w:cs="Calibri"/>
        </w:rPr>
        <w:t>any</w:t>
      </w:r>
      <w:r w:rsidR="00987C6F" w:rsidRPr="00FE0F6C">
        <w:rPr>
          <w:rFonts w:ascii="Calibri" w:hAnsi="Calibri" w:cs="Calibri"/>
        </w:rPr>
        <w:t xml:space="preserve"> </w:t>
      </w:r>
      <w:r w:rsidRPr="00FE0F6C">
        <w:rPr>
          <w:rFonts w:ascii="Calibri" w:hAnsi="Calibri" w:cs="Calibri"/>
        </w:rPr>
        <w:t xml:space="preserve">poor performance of </w:t>
      </w:r>
      <w:r w:rsidR="009454B7">
        <w:rPr>
          <w:rFonts w:ascii="Calibri" w:hAnsi="Calibri" w:cs="Calibri"/>
        </w:rPr>
        <w:t>the</w:t>
      </w:r>
      <w:r w:rsidR="009454B7" w:rsidRPr="00FE0F6C">
        <w:rPr>
          <w:rFonts w:ascii="Calibri" w:hAnsi="Calibri" w:cs="Calibri"/>
        </w:rPr>
        <w:t xml:space="preserve"> </w:t>
      </w:r>
      <w:r w:rsidRPr="00FE0F6C">
        <w:rPr>
          <w:rFonts w:ascii="Calibri" w:hAnsi="Calibri" w:cs="Calibri"/>
        </w:rPr>
        <w:t xml:space="preserve">existing framework </w:t>
      </w:r>
      <w:r w:rsidR="009454B7">
        <w:rPr>
          <w:rFonts w:ascii="Calibri" w:hAnsi="Calibri" w:cs="Calibri"/>
        </w:rPr>
        <w:t xml:space="preserve">does not </w:t>
      </w:r>
      <w:r w:rsidRPr="00FE0F6C">
        <w:rPr>
          <w:rFonts w:ascii="Calibri" w:hAnsi="Calibri" w:cs="Calibri"/>
        </w:rPr>
        <w:t>affect the performance of the EV initiatives.</w:t>
      </w:r>
    </w:p>
    <w:p w14:paraId="6E486F1F" w14:textId="30B4B59E" w:rsidR="005A242A" w:rsidRDefault="00642EBA" w:rsidP="00FF7D24">
      <w:pPr>
        <w:pStyle w:val="ListParagraph"/>
        <w:numPr>
          <w:ilvl w:val="0"/>
          <w:numId w:val="3"/>
        </w:numPr>
        <w:spacing w:before="120" w:after="120" w:line="216" w:lineRule="auto"/>
        <w:ind w:hanging="357"/>
        <w:rPr>
          <w:rFonts w:ascii="Calibri" w:hAnsi="Calibri" w:cs="Calibri"/>
        </w:rPr>
      </w:pPr>
      <w:r w:rsidRPr="00FE0F6C">
        <w:rPr>
          <w:rFonts w:ascii="Calibri" w:hAnsi="Calibri" w:cs="Calibri"/>
        </w:rPr>
        <w:t xml:space="preserve">The </w:t>
      </w:r>
      <w:r w:rsidR="0079347C" w:rsidRPr="00FE0F6C">
        <w:rPr>
          <w:rFonts w:ascii="Calibri" w:hAnsi="Calibri" w:cs="Calibri"/>
        </w:rPr>
        <w:t xml:space="preserve">National Determined </w:t>
      </w:r>
      <w:r w:rsidRPr="00FE0F6C">
        <w:rPr>
          <w:rFonts w:ascii="Calibri" w:hAnsi="Calibri" w:cs="Calibri"/>
        </w:rPr>
        <w:t>Contributions</w:t>
      </w:r>
      <w:r w:rsidR="00BE5FAD" w:rsidRPr="00FE0F6C">
        <w:rPr>
          <w:rFonts w:ascii="Calibri" w:hAnsi="Calibri" w:cs="Calibri"/>
        </w:rPr>
        <w:t xml:space="preserve"> </w:t>
      </w:r>
      <w:r w:rsidRPr="00FE0F6C">
        <w:rPr>
          <w:rFonts w:ascii="Calibri" w:hAnsi="Calibri" w:cs="Calibri"/>
        </w:rPr>
        <w:t>(NDCs) have not been well developed for some PIC</w:t>
      </w:r>
      <w:r w:rsidR="00341108" w:rsidRPr="00FE0F6C">
        <w:rPr>
          <w:rFonts w:ascii="Calibri" w:hAnsi="Calibri" w:cs="Calibri"/>
        </w:rPr>
        <w:t>T</w:t>
      </w:r>
      <w:r w:rsidRPr="00FE0F6C">
        <w:rPr>
          <w:rFonts w:ascii="Calibri" w:hAnsi="Calibri" w:cs="Calibri"/>
        </w:rPr>
        <w:t>s</w:t>
      </w:r>
      <w:r w:rsidR="00E163D7">
        <w:rPr>
          <w:rFonts w:ascii="Calibri" w:hAnsi="Calibri" w:cs="Calibri"/>
        </w:rPr>
        <w:t>,</w:t>
      </w:r>
      <w:r w:rsidRPr="00FE0F6C">
        <w:rPr>
          <w:rFonts w:ascii="Calibri" w:hAnsi="Calibri" w:cs="Calibri"/>
        </w:rPr>
        <w:t xml:space="preserve"> resulting in targets</w:t>
      </w:r>
      <w:r w:rsidR="00350F3A" w:rsidRPr="00FE0F6C">
        <w:rPr>
          <w:rFonts w:ascii="Calibri" w:hAnsi="Calibri" w:cs="Calibri"/>
        </w:rPr>
        <w:t xml:space="preserve"> </w:t>
      </w:r>
      <w:r w:rsidR="00341108" w:rsidRPr="00FE0F6C">
        <w:rPr>
          <w:rFonts w:ascii="Calibri" w:hAnsi="Calibri" w:cs="Calibri"/>
        </w:rPr>
        <w:t xml:space="preserve">that are more aspirational than achievable </w:t>
      </w:r>
      <w:r w:rsidR="00350F3A" w:rsidRPr="00FE0F6C">
        <w:rPr>
          <w:rFonts w:ascii="Calibri" w:hAnsi="Calibri" w:cs="Calibri"/>
        </w:rPr>
        <w:t>without significant disruption and</w:t>
      </w:r>
      <w:r w:rsidR="008D28E6" w:rsidRPr="00FE0F6C">
        <w:rPr>
          <w:rFonts w:ascii="Calibri" w:hAnsi="Calibri" w:cs="Calibri"/>
        </w:rPr>
        <w:t>/or</w:t>
      </w:r>
      <w:r w:rsidR="00350F3A" w:rsidRPr="00FE0F6C">
        <w:rPr>
          <w:rFonts w:ascii="Calibri" w:hAnsi="Calibri" w:cs="Calibri"/>
        </w:rPr>
        <w:t xml:space="preserve"> significant foreign aid. </w:t>
      </w:r>
      <w:r w:rsidR="00EB462B">
        <w:rPr>
          <w:rFonts w:ascii="Calibri" w:hAnsi="Calibri" w:cs="Calibri"/>
        </w:rPr>
        <w:t>PICs are currently reviewing their NDCs and this provides an opportunity for the inclusion of energy efficiency in the transport sector, which may include EVs</w:t>
      </w:r>
      <w:r w:rsidR="00046A5E" w:rsidRPr="00FE0F6C">
        <w:rPr>
          <w:rFonts w:ascii="Calibri" w:hAnsi="Calibri" w:cs="Calibri"/>
        </w:rPr>
        <w:t xml:space="preserve"> at a secondary level (i.e., NDCs </w:t>
      </w:r>
      <w:r w:rsidR="00EB462B">
        <w:rPr>
          <w:rFonts w:ascii="Calibri" w:hAnsi="Calibri" w:cs="Calibri"/>
        </w:rPr>
        <w:t>may n</w:t>
      </w:r>
      <w:r w:rsidR="00046A5E" w:rsidRPr="00FE0F6C">
        <w:rPr>
          <w:rFonts w:ascii="Calibri" w:hAnsi="Calibri" w:cs="Calibri"/>
        </w:rPr>
        <w:t xml:space="preserve">ot provide EV-specific targets, but EV initiatives may have an effect on meeting the non-EV specific targets). </w:t>
      </w:r>
    </w:p>
    <w:p w14:paraId="6EA2BD65" w14:textId="7EDD447F" w:rsidR="00B37941" w:rsidRPr="005751FD" w:rsidRDefault="007A49EC" w:rsidP="00FF7D24">
      <w:pPr>
        <w:pStyle w:val="ListParagraph"/>
        <w:numPr>
          <w:ilvl w:val="0"/>
          <w:numId w:val="3"/>
        </w:numPr>
        <w:spacing w:before="120" w:after="120" w:line="216" w:lineRule="auto"/>
        <w:ind w:hanging="357"/>
        <w:rPr>
          <w:rFonts w:ascii="Calibri" w:hAnsi="Calibri" w:cs="Calibri"/>
        </w:rPr>
      </w:pPr>
      <w:r w:rsidRPr="00FE0F6C">
        <w:rPr>
          <w:rFonts w:ascii="Calibri" w:hAnsi="Calibri" w:cs="Calibri"/>
        </w:rPr>
        <w:t>I</w:t>
      </w:r>
      <w:r w:rsidR="00690748" w:rsidRPr="00FE0F6C">
        <w:rPr>
          <w:rFonts w:ascii="Calibri" w:hAnsi="Calibri" w:cs="Calibri"/>
        </w:rPr>
        <w:t>t would be worthwhile</w:t>
      </w:r>
      <w:r w:rsidR="0034640A" w:rsidRPr="00FE0F6C">
        <w:rPr>
          <w:rFonts w:ascii="Calibri" w:hAnsi="Calibri" w:cs="Calibri"/>
        </w:rPr>
        <w:t xml:space="preserve"> to consider the </w:t>
      </w:r>
      <w:r w:rsidR="00690748" w:rsidRPr="00FE0F6C">
        <w:rPr>
          <w:rFonts w:ascii="Calibri" w:hAnsi="Calibri" w:cs="Calibri"/>
        </w:rPr>
        <w:t xml:space="preserve">many potential </w:t>
      </w:r>
      <w:r w:rsidR="0034640A" w:rsidRPr="00FE0F6C">
        <w:rPr>
          <w:rFonts w:ascii="Calibri" w:hAnsi="Calibri" w:cs="Calibri"/>
        </w:rPr>
        <w:t>opportunities for women</w:t>
      </w:r>
      <w:r w:rsidR="00690748" w:rsidRPr="00FE0F6C">
        <w:rPr>
          <w:rFonts w:ascii="Calibri" w:hAnsi="Calibri" w:cs="Calibri"/>
        </w:rPr>
        <w:t xml:space="preserve"> that may accrue due</w:t>
      </w:r>
      <w:r w:rsidR="0034640A" w:rsidRPr="00FE0F6C">
        <w:rPr>
          <w:rFonts w:ascii="Calibri" w:hAnsi="Calibri" w:cs="Calibri"/>
        </w:rPr>
        <w:t xml:space="preserve"> to the </w:t>
      </w:r>
      <w:r w:rsidR="00B37941" w:rsidRPr="00FE0F6C">
        <w:rPr>
          <w:rFonts w:ascii="Calibri" w:hAnsi="Calibri" w:cs="Calibri"/>
        </w:rPr>
        <w:t>development and implementation of the proposed policy</w:t>
      </w:r>
      <w:r w:rsidR="00EB462B">
        <w:rPr>
          <w:rFonts w:ascii="Calibri" w:hAnsi="Calibri" w:cs="Calibri"/>
        </w:rPr>
        <w:t xml:space="preserve"> and program</w:t>
      </w:r>
      <w:r w:rsidR="00B37941" w:rsidRPr="00FE0F6C">
        <w:rPr>
          <w:rFonts w:ascii="Calibri" w:hAnsi="Calibri" w:cs="Calibri"/>
        </w:rPr>
        <w:t xml:space="preserve">, </w:t>
      </w:r>
      <w:r w:rsidR="00690748" w:rsidRPr="00FE0F6C">
        <w:rPr>
          <w:rFonts w:ascii="Calibri" w:hAnsi="Calibri" w:cs="Calibri"/>
        </w:rPr>
        <w:t xml:space="preserve">including in </w:t>
      </w:r>
      <w:r w:rsidR="00690748" w:rsidRPr="005751FD">
        <w:rPr>
          <w:rFonts w:ascii="Calibri" w:hAnsi="Calibri" w:cs="Calibri"/>
        </w:rPr>
        <w:t xml:space="preserve">the course of the </w:t>
      </w:r>
      <w:r w:rsidR="00BF3510" w:rsidRPr="005751FD">
        <w:rPr>
          <w:rFonts w:ascii="Calibri" w:hAnsi="Calibri" w:cs="Calibri"/>
        </w:rPr>
        <w:t xml:space="preserve">downstream </w:t>
      </w:r>
      <w:r w:rsidR="00B37941" w:rsidRPr="005751FD">
        <w:rPr>
          <w:rFonts w:ascii="Calibri" w:hAnsi="Calibri" w:cs="Calibri"/>
        </w:rPr>
        <w:t xml:space="preserve">deployment </w:t>
      </w:r>
      <w:r w:rsidR="00690748" w:rsidRPr="005751FD">
        <w:rPr>
          <w:rFonts w:ascii="Calibri" w:hAnsi="Calibri" w:cs="Calibri"/>
        </w:rPr>
        <w:t>tasks</w:t>
      </w:r>
      <w:r w:rsidR="00026D22" w:rsidRPr="005751FD">
        <w:rPr>
          <w:rFonts w:ascii="Calibri" w:hAnsi="Calibri" w:cs="Calibri"/>
        </w:rPr>
        <w:t>.</w:t>
      </w:r>
    </w:p>
    <w:p w14:paraId="43CFA43F" w14:textId="77777777" w:rsidR="00F46672" w:rsidRDefault="00F46672" w:rsidP="009F0891">
      <w:pPr>
        <w:spacing w:after="120" w:line="216" w:lineRule="auto"/>
        <w:rPr>
          <w:rFonts w:ascii="Calibri" w:hAnsi="Calibri" w:cs="Calibri"/>
        </w:rPr>
      </w:pPr>
    </w:p>
    <w:p w14:paraId="7448B2B7" w14:textId="1FA84624" w:rsidR="009F0891" w:rsidRDefault="009F0891" w:rsidP="009F0891">
      <w:pPr>
        <w:spacing w:after="120" w:line="216" w:lineRule="auto"/>
        <w:rPr>
          <w:rFonts w:ascii="Calibri" w:hAnsi="Calibri" w:cs="Calibri"/>
        </w:rPr>
      </w:pPr>
      <w:r w:rsidRPr="005751FD">
        <w:rPr>
          <w:rFonts w:ascii="Calibri" w:hAnsi="Calibri" w:cs="Calibri"/>
        </w:rPr>
        <w:t xml:space="preserve">Lastly, it is worthwhile revisiting the potential </w:t>
      </w:r>
      <w:r w:rsidR="005751FD" w:rsidRPr="005751FD">
        <w:rPr>
          <w:rFonts w:ascii="Calibri" w:hAnsi="Calibri" w:cs="Calibri"/>
        </w:rPr>
        <w:t xml:space="preserve">high-level </w:t>
      </w:r>
      <w:r w:rsidRPr="005751FD">
        <w:rPr>
          <w:rFonts w:ascii="Calibri" w:hAnsi="Calibri" w:cs="Calibri"/>
        </w:rPr>
        <w:t xml:space="preserve">goals of a Regional EV </w:t>
      </w:r>
      <w:r w:rsidR="005751FD">
        <w:rPr>
          <w:rFonts w:ascii="Calibri" w:hAnsi="Calibri" w:cs="Calibri"/>
        </w:rPr>
        <w:t>Program</w:t>
      </w:r>
      <w:r w:rsidR="009454B7">
        <w:rPr>
          <w:rFonts w:ascii="Calibri" w:hAnsi="Calibri" w:cs="Calibri"/>
        </w:rPr>
        <w:t>:</w:t>
      </w:r>
      <w:r w:rsidRPr="005751FD">
        <w:rPr>
          <w:rFonts w:ascii="Calibri" w:hAnsi="Calibri" w:cs="Calibri"/>
        </w:rPr>
        <w:t xml:space="preserve"> that is, what are the desired outcomes/what </w:t>
      </w:r>
      <w:r w:rsidR="008D6BFE" w:rsidRPr="005751FD">
        <w:rPr>
          <w:rFonts w:ascii="Calibri" w:hAnsi="Calibri" w:cs="Calibri"/>
        </w:rPr>
        <w:t xml:space="preserve">would </w:t>
      </w:r>
      <w:r w:rsidRPr="005751FD">
        <w:rPr>
          <w:rFonts w:ascii="Calibri" w:hAnsi="Calibri" w:cs="Calibri"/>
        </w:rPr>
        <w:t>success look like</w:t>
      </w:r>
      <w:r w:rsidR="008D6BFE" w:rsidRPr="005751FD">
        <w:rPr>
          <w:rFonts w:ascii="Calibri" w:hAnsi="Calibri" w:cs="Calibri"/>
        </w:rPr>
        <w:t xml:space="preserve"> after a Regional EV </w:t>
      </w:r>
      <w:r w:rsidR="005751FD">
        <w:rPr>
          <w:rFonts w:ascii="Calibri" w:hAnsi="Calibri" w:cs="Calibri"/>
        </w:rPr>
        <w:t>Program</w:t>
      </w:r>
      <w:r w:rsidR="008D6BFE" w:rsidRPr="005751FD">
        <w:rPr>
          <w:rFonts w:ascii="Calibri" w:hAnsi="Calibri" w:cs="Calibri"/>
        </w:rPr>
        <w:t xml:space="preserve"> has been in place for several years</w:t>
      </w:r>
      <w:r w:rsidR="009454B7">
        <w:rPr>
          <w:rFonts w:ascii="Calibri" w:hAnsi="Calibri" w:cs="Calibri"/>
        </w:rPr>
        <w:t>?</w:t>
      </w:r>
      <w:r w:rsidR="008D6BFE">
        <w:rPr>
          <w:rFonts w:ascii="Calibri" w:hAnsi="Calibri" w:cs="Calibri"/>
        </w:rPr>
        <w:t xml:space="preserve"> Here </w:t>
      </w:r>
      <w:r w:rsidR="005751FD">
        <w:rPr>
          <w:rFonts w:ascii="Calibri" w:hAnsi="Calibri" w:cs="Calibri"/>
        </w:rPr>
        <w:t>are</w:t>
      </w:r>
      <w:r w:rsidR="008D6BFE">
        <w:rPr>
          <w:rFonts w:ascii="Calibri" w:hAnsi="Calibri" w:cs="Calibri"/>
        </w:rPr>
        <w:t xml:space="preserve"> our suggested </w:t>
      </w:r>
      <w:r w:rsidR="004B6393">
        <w:rPr>
          <w:rFonts w:ascii="Calibri" w:hAnsi="Calibri" w:cs="Calibri"/>
        </w:rPr>
        <w:t xml:space="preserve">target </w:t>
      </w:r>
      <w:r w:rsidR="008D6BFE">
        <w:rPr>
          <w:rFonts w:ascii="Calibri" w:hAnsi="Calibri" w:cs="Calibri"/>
        </w:rPr>
        <w:t>outcomes for this</w:t>
      </w:r>
      <w:r>
        <w:rPr>
          <w:rFonts w:ascii="Calibri" w:hAnsi="Calibri" w:cs="Calibri"/>
        </w:rPr>
        <w:t>:</w:t>
      </w:r>
    </w:p>
    <w:p w14:paraId="23FD0D65" w14:textId="77777777" w:rsidR="009F0891" w:rsidRDefault="009F0891" w:rsidP="009F0891">
      <w:pPr>
        <w:pStyle w:val="ListParagraph"/>
        <w:numPr>
          <w:ilvl w:val="0"/>
          <w:numId w:val="3"/>
        </w:numPr>
        <w:spacing w:after="120" w:line="216" w:lineRule="auto"/>
        <w:rPr>
          <w:rFonts w:ascii="Calibri" w:hAnsi="Calibri" w:cs="Calibri"/>
        </w:rPr>
      </w:pPr>
      <w:r>
        <w:rPr>
          <w:rFonts w:ascii="Calibri" w:hAnsi="Calibri" w:cs="Calibri"/>
        </w:rPr>
        <w:t>PICTs are best prepared for their respective EV futures, whatever those fut</w:t>
      </w:r>
      <w:r w:rsidR="00BF69B0">
        <w:rPr>
          <w:rFonts w:ascii="Calibri" w:hAnsi="Calibri" w:cs="Calibri"/>
        </w:rPr>
        <w:t>u</w:t>
      </w:r>
      <w:r>
        <w:rPr>
          <w:rFonts w:ascii="Calibri" w:hAnsi="Calibri" w:cs="Calibri"/>
        </w:rPr>
        <w:t>re</w:t>
      </w:r>
      <w:r w:rsidR="00BF69B0">
        <w:rPr>
          <w:rFonts w:ascii="Calibri" w:hAnsi="Calibri" w:cs="Calibri"/>
        </w:rPr>
        <w:t>s might</w:t>
      </w:r>
      <w:r>
        <w:rPr>
          <w:rFonts w:ascii="Calibri" w:hAnsi="Calibri" w:cs="Calibri"/>
        </w:rPr>
        <w:t xml:space="preserve"> be;</w:t>
      </w:r>
    </w:p>
    <w:p w14:paraId="3DF7995C" w14:textId="62E00FAC" w:rsidR="00BF69B0" w:rsidRPr="00AA5BE1" w:rsidRDefault="00BF69B0" w:rsidP="009F0891">
      <w:pPr>
        <w:pStyle w:val="ListParagraph"/>
        <w:numPr>
          <w:ilvl w:val="0"/>
          <w:numId w:val="3"/>
        </w:numPr>
        <w:spacing w:after="120" w:line="216" w:lineRule="auto"/>
        <w:rPr>
          <w:rFonts w:ascii="Calibri" w:hAnsi="Calibri" w:cs="Calibri"/>
        </w:rPr>
      </w:pPr>
      <w:r w:rsidRPr="00AA5BE1">
        <w:rPr>
          <w:rFonts w:ascii="Calibri" w:hAnsi="Calibri" w:cs="Calibri"/>
        </w:rPr>
        <w:t xml:space="preserve">The uptake of EV technology </w:t>
      </w:r>
      <w:r w:rsidR="006E4BC9">
        <w:rPr>
          <w:rFonts w:ascii="Calibri" w:hAnsi="Calibri" w:cs="Calibri"/>
        </w:rPr>
        <w:t xml:space="preserve">has been </w:t>
      </w:r>
      <w:r w:rsidRPr="00AA5BE1">
        <w:rPr>
          <w:rFonts w:ascii="Calibri" w:hAnsi="Calibri" w:cs="Calibri"/>
        </w:rPr>
        <w:t>carried out wisely and in a fit-for-purpose manner;</w:t>
      </w:r>
    </w:p>
    <w:p w14:paraId="5EC324B4" w14:textId="1D327830" w:rsidR="00BF69B0" w:rsidRPr="00AA5BE1" w:rsidRDefault="00BF69B0" w:rsidP="009F0891">
      <w:pPr>
        <w:pStyle w:val="ListParagraph"/>
        <w:numPr>
          <w:ilvl w:val="0"/>
          <w:numId w:val="3"/>
        </w:numPr>
        <w:spacing w:after="120" w:line="216" w:lineRule="auto"/>
        <w:rPr>
          <w:rFonts w:ascii="Calibri" w:hAnsi="Calibri" w:cs="Calibri"/>
        </w:rPr>
      </w:pPr>
      <w:r w:rsidRPr="00AA5BE1">
        <w:rPr>
          <w:rFonts w:ascii="Calibri" w:hAnsi="Calibri" w:cs="Calibri"/>
        </w:rPr>
        <w:t xml:space="preserve">Programs </w:t>
      </w:r>
      <w:r w:rsidR="006E4BC9">
        <w:rPr>
          <w:rFonts w:ascii="Calibri" w:hAnsi="Calibri" w:cs="Calibri"/>
        </w:rPr>
        <w:t xml:space="preserve">have been </w:t>
      </w:r>
      <w:r w:rsidRPr="00AA5BE1">
        <w:rPr>
          <w:rFonts w:ascii="Calibri" w:hAnsi="Calibri" w:cs="Calibri"/>
        </w:rPr>
        <w:t xml:space="preserve">inclusive, well-coordinated and </w:t>
      </w:r>
      <w:r w:rsidR="009454B7">
        <w:rPr>
          <w:rFonts w:ascii="Calibri" w:hAnsi="Calibri" w:cs="Calibri"/>
        </w:rPr>
        <w:t xml:space="preserve">the </w:t>
      </w:r>
      <w:r w:rsidRPr="00AA5BE1">
        <w:rPr>
          <w:rFonts w:ascii="Calibri" w:hAnsi="Calibri" w:cs="Calibri"/>
        </w:rPr>
        <w:t xml:space="preserve">parties involved well-connected </w:t>
      </w:r>
      <w:r w:rsidR="006E4BC9">
        <w:rPr>
          <w:rFonts w:ascii="Calibri" w:hAnsi="Calibri" w:cs="Calibri"/>
        </w:rPr>
        <w:t xml:space="preserve">so that they could </w:t>
      </w:r>
      <w:r w:rsidR="00BC036F" w:rsidRPr="00AA5BE1">
        <w:rPr>
          <w:rFonts w:ascii="Calibri" w:hAnsi="Calibri" w:cs="Calibri"/>
        </w:rPr>
        <w:t>achiev</w:t>
      </w:r>
      <w:r w:rsidR="009454B7">
        <w:rPr>
          <w:rFonts w:ascii="Calibri" w:hAnsi="Calibri" w:cs="Calibri"/>
        </w:rPr>
        <w:t>e</w:t>
      </w:r>
      <w:r w:rsidR="00BC036F" w:rsidRPr="00AA5BE1">
        <w:rPr>
          <w:rFonts w:ascii="Calibri" w:hAnsi="Calibri" w:cs="Calibri"/>
        </w:rPr>
        <w:t xml:space="preserve"> </w:t>
      </w:r>
      <w:r w:rsidRPr="00AA5BE1">
        <w:rPr>
          <w:rFonts w:ascii="Calibri" w:hAnsi="Calibri" w:cs="Calibri"/>
        </w:rPr>
        <w:t xml:space="preserve">maximum benefit from </w:t>
      </w:r>
      <w:r w:rsidR="00CA59A2">
        <w:rPr>
          <w:rFonts w:ascii="Calibri" w:hAnsi="Calibri" w:cs="Calibri"/>
        </w:rPr>
        <w:t xml:space="preserve">the </w:t>
      </w:r>
      <w:r w:rsidRPr="00AA5BE1">
        <w:rPr>
          <w:rFonts w:ascii="Calibri" w:hAnsi="Calibri" w:cs="Calibri"/>
        </w:rPr>
        <w:t>resources</w:t>
      </w:r>
      <w:r w:rsidR="00BC036F" w:rsidRPr="00AA5BE1">
        <w:rPr>
          <w:rFonts w:ascii="Calibri" w:hAnsi="Calibri" w:cs="Calibri"/>
        </w:rPr>
        <w:t xml:space="preserve"> </w:t>
      </w:r>
      <w:r w:rsidR="00CA59A2">
        <w:rPr>
          <w:rFonts w:ascii="Calibri" w:hAnsi="Calibri" w:cs="Calibri"/>
        </w:rPr>
        <w:t xml:space="preserve">that </w:t>
      </w:r>
      <w:r w:rsidR="00BC036F" w:rsidRPr="00AA5BE1">
        <w:rPr>
          <w:rFonts w:ascii="Calibri" w:hAnsi="Calibri" w:cs="Calibri"/>
        </w:rPr>
        <w:t xml:space="preserve">are </w:t>
      </w:r>
      <w:r w:rsidR="00372475">
        <w:rPr>
          <w:rFonts w:ascii="Calibri" w:hAnsi="Calibri" w:cs="Calibri"/>
        </w:rPr>
        <w:t xml:space="preserve">made </w:t>
      </w:r>
      <w:r w:rsidR="00BC036F" w:rsidRPr="00AA5BE1">
        <w:rPr>
          <w:rFonts w:ascii="Calibri" w:hAnsi="Calibri" w:cs="Calibri"/>
        </w:rPr>
        <w:t>available</w:t>
      </w:r>
      <w:r w:rsidR="00CA59A2">
        <w:rPr>
          <w:rFonts w:ascii="Calibri" w:hAnsi="Calibri" w:cs="Calibri"/>
        </w:rPr>
        <w:t xml:space="preserve"> to the program</w:t>
      </w:r>
      <w:r w:rsidR="00BC036F" w:rsidRPr="00AA5BE1">
        <w:rPr>
          <w:rFonts w:ascii="Calibri" w:hAnsi="Calibri" w:cs="Calibri"/>
        </w:rPr>
        <w:t>;</w:t>
      </w:r>
    </w:p>
    <w:p w14:paraId="5A5CE7FC" w14:textId="3652BDF2" w:rsidR="00DE4981" w:rsidRPr="006E4BC9" w:rsidRDefault="004B6393" w:rsidP="00FF7D24">
      <w:pPr>
        <w:pStyle w:val="ListParagraph"/>
        <w:numPr>
          <w:ilvl w:val="0"/>
          <w:numId w:val="3"/>
        </w:numPr>
        <w:spacing w:after="120" w:line="216" w:lineRule="auto"/>
        <w:rPr>
          <w:rFonts w:eastAsiaTheme="majorEastAsia"/>
          <w:b/>
          <w:color w:val="1F3864" w:themeColor="accent1" w:themeShade="80"/>
          <w:sz w:val="24"/>
          <w:szCs w:val="24"/>
        </w:rPr>
      </w:pPr>
      <w:r w:rsidRPr="00B02A4A">
        <w:rPr>
          <w:rFonts w:ascii="Calibri" w:hAnsi="Calibri" w:cs="Calibri"/>
        </w:rPr>
        <w:t xml:space="preserve">The region </w:t>
      </w:r>
      <w:r w:rsidR="001401B3">
        <w:rPr>
          <w:rFonts w:ascii="Calibri" w:hAnsi="Calibri" w:cs="Calibri"/>
        </w:rPr>
        <w:t>develops its own,</w:t>
      </w:r>
      <w:r w:rsidRPr="00B02A4A">
        <w:rPr>
          <w:rFonts w:ascii="Calibri" w:hAnsi="Calibri" w:cs="Calibri"/>
        </w:rPr>
        <w:t xml:space="preserve"> stable base of </w:t>
      </w:r>
      <w:r w:rsidR="00BC036F" w:rsidRPr="00AA5BE1">
        <w:rPr>
          <w:rFonts w:ascii="Calibri" w:hAnsi="Calibri" w:cs="Calibri"/>
        </w:rPr>
        <w:t>c</w:t>
      </w:r>
      <w:r w:rsidR="00BF69B0" w:rsidRPr="00AA5BE1">
        <w:rPr>
          <w:rFonts w:ascii="Calibri" w:hAnsi="Calibri" w:cs="Calibri"/>
        </w:rPr>
        <w:t>apability and capacity</w:t>
      </w:r>
      <w:r w:rsidR="00AA5BE1" w:rsidRPr="00B02A4A">
        <w:rPr>
          <w:rFonts w:ascii="Calibri" w:hAnsi="Calibri" w:cs="Calibri"/>
        </w:rPr>
        <w:t>.</w:t>
      </w:r>
      <w:r w:rsidR="009F0891" w:rsidRPr="00AA5BE1">
        <w:rPr>
          <w:rFonts w:ascii="Calibri" w:hAnsi="Calibri" w:cs="Calibri"/>
        </w:rPr>
        <w:t xml:space="preserve"> </w:t>
      </w:r>
      <w:r w:rsidR="009F0891" w:rsidRPr="00B02A4A">
        <w:rPr>
          <w:rFonts w:ascii="Calibri" w:hAnsi="Calibri" w:cs="Calibri"/>
        </w:rPr>
        <w:t xml:space="preserve"> </w:t>
      </w:r>
    </w:p>
    <w:p w14:paraId="24638706" w14:textId="52474578" w:rsidR="003D2ADC" w:rsidRDefault="006E4BC9" w:rsidP="006E4BC9">
      <w:pPr>
        <w:spacing w:after="120" w:line="216" w:lineRule="auto"/>
        <w:rPr>
          <w:rFonts w:ascii="Calibri" w:hAnsi="Calibri" w:cs="Calibri"/>
        </w:rPr>
      </w:pPr>
      <w:r w:rsidRPr="006E4BC9">
        <w:rPr>
          <w:rFonts w:ascii="Calibri" w:hAnsi="Calibri" w:cs="Calibri"/>
        </w:rPr>
        <w:t xml:space="preserve">However, as pointed out </w:t>
      </w:r>
      <w:r>
        <w:rPr>
          <w:rFonts w:ascii="Calibri" w:hAnsi="Calibri" w:cs="Calibri"/>
        </w:rPr>
        <w:t xml:space="preserve">in the policy document, administrative-type targets like these are hardly inspirational, nor visionary – </w:t>
      </w:r>
      <w:r w:rsidR="00660AF7">
        <w:rPr>
          <w:rFonts w:ascii="Calibri" w:hAnsi="Calibri" w:cs="Calibri"/>
        </w:rPr>
        <w:t>and therefore serve little purpose in providing guidance to a wide audience towards an e-mobility future. The policy document discusses this further, and recommended the following regional e-mobility targets:</w:t>
      </w:r>
    </w:p>
    <w:p w14:paraId="146C07B1" w14:textId="3263A281" w:rsidR="00F46672" w:rsidRPr="00660AF7" w:rsidRDefault="00F46672" w:rsidP="006E4BC9">
      <w:pPr>
        <w:spacing w:after="120" w:line="216" w:lineRule="auto"/>
        <w:rPr>
          <w:rFonts w:ascii="Calibri" w:hAnsi="Calibri" w:cs="Calibri"/>
          <w:sz w:val="16"/>
          <w:szCs w:val="16"/>
        </w:rPr>
      </w:pPr>
      <w:bookmarkStart w:id="10" w:name="_GoBack"/>
      <w:bookmarkEnd w:id="10"/>
    </w:p>
    <w:tbl>
      <w:tblPr>
        <w:tblStyle w:val="TableGrid"/>
        <w:tblW w:w="9464" w:type="dxa"/>
        <w:tblLook w:val="04A0" w:firstRow="1" w:lastRow="0" w:firstColumn="1" w:lastColumn="0" w:noHBand="0" w:noVBand="1"/>
      </w:tblPr>
      <w:tblGrid>
        <w:gridCol w:w="426"/>
        <w:gridCol w:w="9038"/>
      </w:tblGrid>
      <w:tr w:rsidR="00660AF7" w:rsidRPr="00202FD9" w14:paraId="773FDFF6" w14:textId="77777777" w:rsidTr="00660AF7">
        <w:trPr>
          <w:trHeight w:val="378"/>
        </w:trPr>
        <w:tc>
          <w:tcPr>
            <w:tcW w:w="426" w:type="dxa"/>
            <w:shd w:val="clear" w:color="auto" w:fill="1F3864" w:themeFill="accent1" w:themeFillShade="80"/>
          </w:tcPr>
          <w:p w14:paraId="57150399" w14:textId="4E6CB1CE" w:rsidR="00660AF7" w:rsidRPr="00DF02CE" w:rsidRDefault="00660AF7" w:rsidP="008B2E29">
            <w:pPr>
              <w:spacing w:line="216" w:lineRule="auto"/>
              <w:jc w:val="left"/>
              <w:rPr>
                <w:b/>
                <w:bCs/>
                <w:color w:val="FFFFFF" w:themeColor="background1"/>
                <w:sz w:val="21"/>
                <w:szCs w:val="21"/>
              </w:rPr>
            </w:pPr>
            <w:r>
              <w:rPr>
                <w:rFonts w:ascii="Calibri" w:hAnsi="Calibri" w:cs="Calibri"/>
              </w:rPr>
              <w:br w:type="page"/>
            </w:r>
          </w:p>
        </w:tc>
        <w:tc>
          <w:tcPr>
            <w:tcW w:w="9038" w:type="dxa"/>
            <w:shd w:val="clear" w:color="auto" w:fill="1F3864" w:themeFill="accent1" w:themeFillShade="80"/>
          </w:tcPr>
          <w:p w14:paraId="50E8A922" w14:textId="77777777" w:rsidR="00660AF7" w:rsidRPr="00660AF7" w:rsidRDefault="00660AF7" w:rsidP="00660AF7">
            <w:pPr>
              <w:spacing w:line="216" w:lineRule="auto"/>
              <w:jc w:val="center"/>
              <w:rPr>
                <w:b/>
                <w:bCs/>
                <w:color w:val="FFFFFF" w:themeColor="background1"/>
                <w:sz w:val="6"/>
                <w:szCs w:val="6"/>
              </w:rPr>
            </w:pPr>
          </w:p>
          <w:p w14:paraId="5C37F426" w14:textId="3928C9DD" w:rsidR="00660AF7" w:rsidRPr="00DF02CE" w:rsidRDefault="00660AF7" w:rsidP="00660AF7">
            <w:pPr>
              <w:spacing w:line="216" w:lineRule="auto"/>
              <w:jc w:val="center"/>
              <w:rPr>
                <w:b/>
                <w:bCs/>
                <w:color w:val="FFFFFF" w:themeColor="background1"/>
                <w:sz w:val="21"/>
                <w:szCs w:val="21"/>
              </w:rPr>
            </w:pPr>
            <w:r w:rsidRPr="00DF02CE">
              <w:rPr>
                <w:b/>
                <w:bCs/>
                <w:color w:val="FFFFFF" w:themeColor="background1"/>
                <w:sz w:val="21"/>
                <w:szCs w:val="21"/>
              </w:rPr>
              <w:t>Proposed 2030 Regional E-Mobility Target</w:t>
            </w:r>
            <w:r w:rsidR="00C455E7">
              <w:rPr>
                <w:b/>
                <w:bCs/>
                <w:color w:val="FFFFFF" w:themeColor="background1"/>
                <w:sz w:val="21"/>
                <w:szCs w:val="21"/>
              </w:rPr>
              <w:t>s for PICTs</w:t>
            </w:r>
          </w:p>
        </w:tc>
      </w:tr>
      <w:tr w:rsidR="00660AF7" w:rsidRPr="00AC3C47" w14:paraId="7A2A015D" w14:textId="77777777" w:rsidTr="00660AF7">
        <w:tc>
          <w:tcPr>
            <w:tcW w:w="426" w:type="dxa"/>
          </w:tcPr>
          <w:p w14:paraId="687FCE82" w14:textId="77777777" w:rsidR="00660AF7" w:rsidRPr="00DF02CE" w:rsidRDefault="00660AF7" w:rsidP="008B2E29">
            <w:pPr>
              <w:spacing w:line="216" w:lineRule="auto"/>
              <w:jc w:val="center"/>
              <w:rPr>
                <w:sz w:val="21"/>
                <w:szCs w:val="21"/>
              </w:rPr>
            </w:pPr>
            <w:r w:rsidRPr="00DF02CE">
              <w:rPr>
                <w:sz w:val="21"/>
                <w:szCs w:val="21"/>
              </w:rPr>
              <w:t>1.</w:t>
            </w:r>
          </w:p>
        </w:tc>
        <w:tc>
          <w:tcPr>
            <w:tcW w:w="9038" w:type="dxa"/>
          </w:tcPr>
          <w:p w14:paraId="0A225208" w14:textId="53ACFA77" w:rsidR="00660AF7" w:rsidRPr="00DF02CE" w:rsidRDefault="00660AF7" w:rsidP="008B2E29">
            <w:pPr>
              <w:spacing w:after="160" w:line="216" w:lineRule="auto"/>
              <w:jc w:val="left"/>
              <w:rPr>
                <w:sz w:val="21"/>
                <w:szCs w:val="21"/>
              </w:rPr>
            </w:pPr>
            <w:r w:rsidRPr="00DF02CE">
              <w:rPr>
                <w:sz w:val="21"/>
                <w:szCs w:val="21"/>
              </w:rPr>
              <w:t xml:space="preserve">Ten different models of manufacturer-supported, mainstream EVs are available in the marketplace. </w:t>
            </w:r>
          </w:p>
        </w:tc>
      </w:tr>
      <w:tr w:rsidR="00660AF7" w:rsidRPr="00AC3C47" w14:paraId="5A225D39" w14:textId="77777777" w:rsidTr="00660AF7">
        <w:tc>
          <w:tcPr>
            <w:tcW w:w="426" w:type="dxa"/>
          </w:tcPr>
          <w:p w14:paraId="3883445F" w14:textId="77777777" w:rsidR="00660AF7" w:rsidRPr="00DF02CE" w:rsidRDefault="00660AF7" w:rsidP="008B2E29">
            <w:pPr>
              <w:spacing w:line="216" w:lineRule="auto"/>
              <w:jc w:val="center"/>
              <w:rPr>
                <w:sz w:val="21"/>
                <w:szCs w:val="21"/>
              </w:rPr>
            </w:pPr>
            <w:r w:rsidRPr="00DF02CE">
              <w:rPr>
                <w:sz w:val="21"/>
                <w:szCs w:val="21"/>
              </w:rPr>
              <w:t>2.</w:t>
            </w:r>
          </w:p>
        </w:tc>
        <w:tc>
          <w:tcPr>
            <w:tcW w:w="9038" w:type="dxa"/>
          </w:tcPr>
          <w:p w14:paraId="1EE2C675" w14:textId="77777777" w:rsidR="00660AF7" w:rsidRPr="00DF02CE" w:rsidRDefault="00660AF7" w:rsidP="008B2E29">
            <w:pPr>
              <w:spacing w:after="160" w:line="216" w:lineRule="auto"/>
              <w:jc w:val="left"/>
              <w:rPr>
                <w:sz w:val="21"/>
                <w:szCs w:val="21"/>
              </w:rPr>
            </w:pPr>
            <w:r w:rsidRPr="00DF02CE">
              <w:rPr>
                <w:sz w:val="21"/>
                <w:szCs w:val="21"/>
              </w:rPr>
              <w:t>Battery swapping for low-voltage mobility use is available on a commercial scale in the marketplace.</w:t>
            </w:r>
          </w:p>
        </w:tc>
      </w:tr>
      <w:tr w:rsidR="00660AF7" w:rsidRPr="00AC3C47" w14:paraId="50393334" w14:textId="77777777" w:rsidTr="00660AF7">
        <w:tc>
          <w:tcPr>
            <w:tcW w:w="426" w:type="dxa"/>
          </w:tcPr>
          <w:p w14:paraId="735F34E3" w14:textId="77777777" w:rsidR="00660AF7" w:rsidRPr="00DF02CE" w:rsidRDefault="00660AF7" w:rsidP="008B2E29">
            <w:pPr>
              <w:spacing w:after="160" w:line="216" w:lineRule="auto"/>
              <w:jc w:val="center"/>
              <w:rPr>
                <w:sz w:val="21"/>
                <w:szCs w:val="21"/>
              </w:rPr>
            </w:pPr>
            <w:r w:rsidRPr="00DF02CE">
              <w:rPr>
                <w:sz w:val="21"/>
                <w:szCs w:val="21"/>
              </w:rPr>
              <w:t>3.</w:t>
            </w:r>
          </w:p>
        </w:tc>
        <w:tc>
          <w:tcPr>
            <w:tcW w:w="9038" w:type="dxa"/>
          </w:tcPr>
          <w:p w14:paraId="267CD8DC" w14:textId="77777777" w:rsidR="00660AF7" w:rsidRPr="00DF02CE" w:rsidRDefault="00660AF7" w:rsidP="008B2E29">
            <w:pPr>
              <w:spacing w:after="160" w:line="216" w:lineRule="auto"/>
              <w:jc w:val="left"/>
              <w:rPr>
                <w:sz w:val="21"/>
                <w:szCs w:val="21"/>
              </w:rPr>
            </w:pPr>
            <w:r>
              <w:rPr>
                <w:sz w:val="21"/>
                <w:szCs w:val="21"/>
              </w:rPr>
              <w:t>There is good public awareness of EVs.</w:t>
            </w:r>
          </w:p>
        </w:tc>
      </w:tr>
      <w:tr w:rsidR="00660AF7" w:rsidRPr="00AC3C47" w14:paraId="689081A8" w14:textId="77777777" w:rsidTr="00660AF7">
        <w:tc>
          <w:tcPr>
            <w:tcW w:w="426" w:type="dxa"/>
          </w:tcPr>
          <w:p w14:paraId="3D6E4428" w14:textId="77777777" w:rsidR="00660AF7" w:rsidRPr="00DF02CE" w:rsidRDefault="00660AF7" w:rsidP="008B2E29">
            <w:pPr>
              <w:spacing w:line="216" w:lineRule="auto"/>
              <w:jc w:val="center"/>
              <w:rPr>
                <w:sz w:val="21"/>
                <w:szCs w:val="21"/>
              </w:rPr>
            </w:pPr>
            <w:r>
              <w:rPr>
                <w:sz w:val="21"/>
                <w:szCs w:val="21"/>
              </w:rPr>
              <w:t>4</w:t>
            </w:r>
            <w:r w:rsidRPr="00DF02CE">
              <w:rPr>
                <w:sz w:val="21"/>
                <w:szCs w:val="21"/>
              </w:rPr>
              <w:t>.</w:t>
            </w:r>
          </w:p>
        </w:tc>
        <w:tc>
          <w:tcPr>
            <w:tcW w:w="9038" w:type="dxa"/>
          </w:tcPr>
          <w:p w14:paraId="4A398C72" w14:textId="77777777" w:rsidR="00660AF7" w:rsidRPr="00DF02CE" w:rsidRDefault="00660AF7" w:rsidP="008B2E29">
            <w:pPr>
              <w:spacing w:after="160" w:line="216" w:lineRule="auto"/>
              <w:jc w:val="left"/>
              <w:rPr>
                <w:sz w:val="21"/>
                <w:szCs w:val="21"/>
              </w:rPr>
            </w:pPr>
            <w:r w:rsidRPr="00DF02CE">
              <w:rPr>
                <w:sz w:val="21"/>
                <w:szCs w:val="21"/>
              </w:rPr>
              <w:t>50% of all mainstream EVs are charged through devices that are managed-charging enabled.</w:t>
            </w:r>
          </w:p>
        </w:tc>
      </w:tr>
      <w:tr w:rsidR="00660AF7" w:rsidRPr="00202FD9" w14:paraId="6489AF1F" w14:textId="77777777" w:rsidTr="00660AF7">
        <w:trPr>
          <w:trHeight w:val="330"/>
        </w:trPr>
        <w:tc>
          <w:tcPr>
            <w:tcW w:w="426" w:type="dxa"/>
            <w:shd w:val="clear" w:color="auto" w:fill="1F3864" w:themeFill="accent1" w:themeFillShade="80"/>
          </w:tcPr>
          <w:p w14:paraId="0ACAF8A1" w14:textId="77777777" w:rsidR="00660AF7" w:rsidRPr="00DF02CE" w:rsidRDefault="00660AF7" w:rsidP="008B2E29">
            <w:pPr>
              <w:spacing w:line="216" w:lineRule="auto"/>
              <w:jc w:val="center"/>
              <w:rPr>
                <w:b/>
                <w:bCs/>
                <w:color w:val="FFFFFF" w:themeColor="background1"/>
                <w:sz w:val="21"/>
                <w:szCs w:val="21"/>
              </w:rPr>
            </w:pPr>
          </w:p>
        </w:tc>
        <w:tc>
          <w:tcPr>
            <w:tcW w:w="9038" w:type="dxa"/>
            <w:shd w:val="clear" w:color="auto" w:fill="1F3864" w:themeFill="accent1" w:themeFillShade="80"/>
          </w:tcPr>
          <w:p w14:paraId="7B3C1863" w14:textId="77777777" w:rsidR="00660AF7" w:rsidRPr="00660AF7" w:rsidRDefault="00660AF7" w:rsidP="00660AF7">
            <w:pPr>
              <w:spacing w:line="216" w:lineRule="auto"/>
              <w:jc w:val="center"/>
              <w:rPr>
                <w:b/>
                <w:bCs/>
                <w:color w:val="FFFFFF" w:themeColor="background1"/>
                <w:sz w:val="6"/>
                <w:szCs w:val="6"/>
              </w:rPr>
            </w:pPr>
          </w:p>
          <w:p w14:paraId="27B0EFDD" w14:textId="3E4CEB34" w:rsidR="00660AF7" w:rsidRPr="00DF02CE" w:rsidRDefault="00660AF7" w:rsidP="00660AF7">
            <w:pPr>
              <w:spacing w:line="216" w:lineRule="auto"/>
              <w:jc w:val="center"/>
              <w:rPr>
                <w:b/>
                <w:bCs/>
                <w:color w:val="FFFFFF" w:themeColor="background1"/>
                <w:sz w:val="21"/>
                <w:szCs w:val="21"/>
              </w:rPr>
            </w:pPr>
            <w:r w:rsidRPr="00DF02CE">
              <w:rPr>
                <w:b/>
                <w:bCs/>
                <w:color w:val="FFFFFF" w:themeColor="background1"/>
                <w:sz w:val="21"/>
                <w:szCs w:val="21"/>
              </w:rPr>
              <w:t>Proposed 20</w:t>
            </w:r>
            <w:r>
              <w:rPr>
                <w:b/>
                <w:bCs/>
                <w:color w:val="FFFFFF" w:themeColor="background1"/>
                <w:sz w:val="21"/>
                <w:szCs w:val="21"/>
              </w:rPr>
              <w:t>5</w:t>
            </w:r>
            <w:r w:rsidRPr="00DF02CE">
              <w:rPr>
                <w:b/>
                <w:bCs/>
                <w:color w:val="FFFFFF" w:themeColor="background1"/>
                <w:sz w:val="21"/>
                <w:szCs w:val="21"/>
              </w:rPr>
              <w:t>0 Regional E-Mobility Target</w:t>
            </w:r>
            <w:r>
              <w:rPr>
                <w:b/>
                <w:bCs/>
                <w:color w:val="FFFFFF" w:themeColor="background1"/>
                <w:sz w:val="21"/>
                <w:szCs w:val="21"/>
              </w:rPr>
              <w:t>s</w:t>
            </w:r>
            <w:r w:rsidR="00C455E7">
              <w:rPr>
                <w:b/>
                <w:bCs/>
                <w:color w:val="FFFFFF" w:themeColor="background1"/>
                <w:sz w:val="21"/>
                <w:szCs w:val="21"/>
              </w:rPr>
              <w:t xml:space="preserve"> for PICTs</w:t>
            </w:r>
          </w:p>
        </w:tc>
      </w:tr>
      <w:tr w:rsidR="00660AF7" w:rsidRPr="00AC3C47" w14:paraId="375CCB66" w14:textId="77777777" w:rsidTr="00660AF7">
        <w:tc>
          <w:tcPr>
            <w:tcW w:w="426" w:type="dxa"/>
          </w:tcPr>
          <w:p w14:paraId="111019F9" w14:textId="77777777" w:rsidR="00660AF7" w:rsidRPr="00DF02CE" w:rsidRDefault="00660AF7" w:rsidP="008B2E29">
            <w:pPr>
              <w:spacing w:line="216" w:lineRule="auto"/>
              <w:jc w:val="center"/>
              <w:rPr>
                <w:sz w:val="21"/>
                <w:szCs w:val="21"/>
              </w:rPr>
            </w:pPr>
            <w:r>
              <w:rPr>
                <w:sz w:val="21"/>
                <w:szCs w:val="21"/>
              </w:rPr>
              <w:t>5.</w:t>
            </w:r>
          </w:p>
        </w:tc>
        <w:tc>
          <w:tcPr>
            <w:tcW w:w="9038" w:type="dxa"/>
          </w:tcPr>
          <w:p w14:paraId="31C1138A" w14:textId="77777777" w:rsidR="00660AF7" w:rsidRPr="00DF02CE" w:rsidRDefault="00660AF7" w:rsidP="008B2E29">
            <w:pPr>
              <w:spacing w:after="160" w:line="216" w:lineRule="auto"/>
              <w:jc w:val="left"/>
              <w:rPr>
                <w:sz w:val="21"/>
                <w:szCs w:val="21"/>
              </w:rPr>
            </w:pPr>
            <w:r>
              <w:rPr>
                <w:sz w:val="21"/>
                <w:szCs w:val="21"/>
              </w:rPr>
              <w:t xml:space="preserve">Services provided by EVs are an integral and significant component of transport within the region and include single-person, electrically assisted mobility options through to electric trucks, buses and boats.   </w:t>
            </w:r>
          </w:p>
        </w:tc>
      </w:tr>
      <w:tr w:rsidR="00660AF7" w:rsidRPr="00AC3C47" w14:paraId="36487C56" w14:textId="77777777" w:rsidTr="00660AF7">
        <w:tc>
          <w:tcPr>
            <w:tcW w:w="426" w:type="dxa"/>
          </w:tcPr>
          <w:p w14:paraId="7DF3E1AA" w14:textId="77777777" w:rsidR="00660AF7" w:rsidRPr="00DF02CE" w:rsidRDefault="00660AF7" w:rsidP="008B2E29">
            <w:pPr>
              <w:spacing w:line="216" w:lineRule="auto"/>
              <w:jc w:val="center"/>
              <w:rPr>
                <w:sz w:val="21"/>
                <w:szCs w:val="21"/>
              </w:rPr>
            </w:pPr>
            <w:r>
              <w:rPr>
                <w:sz w:val="21"/>
                <w:szCs w:val="21"/>
              </w:rPr>
              <w:t>6.</w:t>
            </w:r>
          </w:p>
        </w:tc>
        <w:tc>
          <w:tcPr>
            <w:tcW w:w="9038" w:type="dxa"/>
          </w:tcPr>
          <w:p w14:paraId="10254041" w14:textId="77777777" w:rsidR="00660AF7" w:rsidRPr="00DF02CE" w:rsidRDefault="00660AF7" w:rsidP="008B2E29">
            <w:pPr>
              <w:spacing w:after="160" w:line="216" w:lineRule="auto"/>
              <w:jc w:val="left"/>
              <w:rPr>
                <w:sz w:val="21"/>
                <w:szCs w:val="21"/>
              </w:rPr>
            </w:pPr>
            <w:r>
              <w:rPr>
                <w:sz w:val="21"/>
                <w:szCs w:val="21"/>
              </w:rPr>
              <w:t xml:space="preserve">90% of grid-supplied charging of mainstream EVs is provided through managed-charging systems. </w:t>
            </w:r>
          </w:p>
        </w:tc>
      </w:tr>
    </w:tbl>
    <w:p w14:paraId="3B2108D1" w14:textId="7D5BFEEE" w:rsidR="005C30DA" w:rsidRPr="00660AF7" w:rsidRDefault="005C30DA" w:rsidP="00CF1287">
      <w:pPr>
        <w:spacing w:after="120" w:line="216" w:lineRule="auto"/>
        <w:jc w:val="center"/>
        <w:rPr>
          <w:rFonts w:ascii="Calibri" w:hAnsi="Calibri" w:cs="Calibri"/>
          <w:sz w:val="16"/>
          <w:szCs w:val="16"/>
        </w:rPr>
      </w:pPr>
      <w:r w:rsidRPr="00995C46">
        <w:rPr>
          <w:rFonts w:eastAsia="Calibri" w:cs="Arial"/>
          <w:b/>
          <w:sz w:val="20"/>
          <w:szCs w:val="20"/>
          <w:lang w:val="en-US"/>
        </w:rPr>
        <w:t xml:space="preserve">Table </w:t>
      </w:r>
      <w:r w:rsidRPr="00995C46">
        <w:rPr>
          <w:rFonts w:eastAsia="Calibri" w:cs="Arial"/>
          <w:b/>
          <w:sz w:val="20"/>
          <w:szCs w:val="20"/>
          <w:lang w:val="en-US"/>
        </w:rPr>
        <w:fldChar w:fldCharType="begin"/>
      </w:r>
      <w:r w:rsidRPr="00995C46">
        <w:rPr>
          <w:rFonts w:eastAsia="Calibri" w:cs="Arial"/>
          <w:b/>
          <w:sz w:val="20"/>
          <w:szCs w:val="20"/>
          <w:lang w:val="en-US"/>
        </w:rPr>
        <w:instrText xml:space="preserve"> SEQ Table \* ARABIC </w:instrText>
      </w:r>
      <w:r w:rsidRPr="00995C46">
        <w:rPr>
          <w:rFonts w:eastAsia="Calibri" w:cs="Arial"/>
          <w:b/>
          <w:sz w:val="20"/>
          <w:szCs w:val="20"/>
          <w:lang w:val="en-US"/>
        </w:rPr>
        <w:fldChar w:fldCharType="separate"/>
      </w:r>
      <w:r>
        <w:rPr>
          <w:rFonts w:eastAsia="Calibri" w:cs="Arial"/>
          <w:b/>
          <w:noProof/>
          <w:sz w:val="20"/>
          <w:szCs w:val="20"/>
          <w:lang w:val="en-US"/>
        </w:rPr>
        <w:t>2</w:t>
      </w:r>
      <w:r w:rsidRPr="00995C46">
        <w:rPr>
          <w:rFonts w:eastAsia="Calibri" w:cs="Arial"/>
          <w:b/>
          <w:sz w:val="20"/>
          <w:szCs w:val="20"/>
          <w:lang w:val="en-US"/>
        </w:rPr>
        <w:fldChar w:fldCharType="end"/>
      </w:r>
      <w:r w:rsidRPr="006E1A22">
        <w:rPr>
          <w:rFonts w:ascii="Calibri" w:hAnsi="Calibri" w:cs="Calibri"/>
          <w:b/>
          <w:bCs/>
          <w:sz w:val="20"/>
          <w:szCs w:val="20"/>
        </w:rPr>
        <w:t>: Target Actions of the Regional EV Program</w:t>
      </w:r>
    </w:p>
    <w:p w14:paraId="0396CCDD" w14:textId="77777777" w:rsidR="00660AF7" w:rsidRDefault="00660AF7" w:rsidP="00CF1287">
      <w:pPr>
        <w:spacing w:after="0" w:line="216" w:lineRule="auto"/>
        <w:jc w:val="left"/>
        <w:rPr>
          <w:rFonts w:ascii="Calibri" w:hAnsi="Calibri" w:cs="Calibri"/>
        </w:rPr>
      </w:pPr>
    </w:p>
    <w:p w14:paraId="65B00873" w14:textId="4296F55B" w:rsidR="005A242A" w:rsidRDefault="009C12D0" w:rsidP="00FF7D24">
      <w:pPr>
        <w:pStyle w:val="Heading1"/>
        <w:rPr>
          <w:rFonts w:ascii="Calibri" w:hAnsi="Calibri" w:cs="Calibri"/>
          <w:b/>
          <w:color w:val="1F3864" w:themeColor="accent1" w:themeShade="80"/>
          <w:sz w:val="24"/>
          <w:szCs w:val="24"/>
        </w:rPr>
      </w:pPr>
      <w:bookmarkStart w:id="11" w:name="_Toc36839562"/>
      <w:r w:rsidRPr="00FF7D24">
        <w:rPr>
          <w:rFonts w:ascii="Calibri" w:hAnsi="Calibri" w:cs="Calibri"/>
          <w:b/>
          <w:color w:val="1F3864" w:themeColor="accent1" w:themeShade="80"/>
          <w:sz w:val="24"/>
          <w:szCs w:val="24"/>
        </w:rPr>
        <w:lastRenderedPageBreak/>
        <w:t xml:space="preserve">Proposed </w:t>
      </w:r>
      <w:r w:rsidR="00DE4981">
        <w:rPr>
          <w:rFonts w:ascii="Calibri" w:hAnsi="Calibri" w:cs="Calibri"/>
          <w:b/>
          <w:color w:val="1F3864" w:themeColor="accent1" w:themeShade="80"/>
          <w:sz w:val="24"/>
          <w:szCs w:val="24"/>
        </w:rPr>
        <w:t xml:space="preserve">Design of the </w:t>
      </w:r>
      <w:r w:rsidRPr="00FF7D24">
        <w:rPr>
          <w:rFonts w:ascii="Calibri" w:hAnsi="Calibri" w:cs="Calibri"/>
          <w:b/>
          <w:color w:val="1F3864" w:themeColor="accent1" w:themeShade="80"/>
          <w:sz w:val="24"/>
          <w:szCs w:val="24"/>
        </w:rPr>
        <w:t>Regional EV Program</w:t>
      </w:r>
      <w:bookmarkEnd w:id="11"/>
    </w:p>
    <w:p w14:paraId="2D410E7A" w14:textId="77777777" w:rsidR="009C12D0" w:rsidRPr="00DE55E7" w:rsidRDefault="009C12D0" w:rsidP="00FF7D24">
      <w:pPr>
        <w:pStyle w:val="Heading2"/>
        <w:spacing w:after="120"/>
        <w:ind w:left="578" w:hanging="578"/>
        <w:rPr>
          <w:rFonts w:asciiTheme="minorHAnsi" w:hAnsiTheme="minorHAnsi" w:cstheme="minorHAnsi"/>
          <w:b/>
          <w:bCs/>
          <w:color w:val="1F3864" w:themeColor="accent1" w:themeShade="80"/>
          <w:sz w:val="22"/>
          <w:szCs w:val="22"/>
        </w:rPr>
      </w:pPr>
      <w:bookmarkStart w:id="12" w:name="_Toc36839563"/>
      <w:r w:rsidRPr="00DE55E7">
        <w:rPr>
          <w:rFonts w:asciiTheme="minorHAnsi" w:hAnsiTheme="minorHAnsi" w:cstheme="minorHAnsi"/>
          <w:b/>
          <w:bCs/>
          <w:color w:val="1F3864" w:themeColor="accent1" w:themeShade="80"/>
          <w:sz w:val="22"/>
          <w:szCs w:val="22"/>
        </w:rPr>
        <w:t>Introduction</w:t>
      </w:r>
      <w:bookmarkEnd w:id="12"/>
    </w:p>
    <w:p w14:paraId="33D52AF9" w14:textId="77777777" w:rsidR="00DE55E7" w:rsidRDefault="009C12D0" w:rsidP="00FF7D24">
      <w:pPr>
        <w:spacing w:after="0" w:line="216" w:lineRule="auto"/>
      </w:pPr>
      <w:r>
        <w:t>This section provides a proposal for a Pacific Regional EV Program by</w:t>
      </w:r>
      <w:r w:rsidR="00DE55E7">
        <w:t>:</w:t>
      </w:r>
    </w:p>
    <w:p w14:paraId="13DE6555" w14:textId="77777777" w:rsidR="00DE55E7" w:rsidRPr="00DE55E7" w:rsidRDefault="00DE55E7" w:rsidP="006131D6">
      <w:pPr>
        <w:pStyle w:val="ListParagraph"/>
        <w:numPr>
          <w:ilvl w:val="0"/>
          <w:numId w:val="13"/>
        </w:numPr>
        <w:spacing w:after="0" w:line="216" w:lineRule="auto"/>
        <w:rPr>
          <w:rFonts w:ascii="Calibri" w:hAnsi="Calibri" w:cs="Calibri"/>
        </w:rPr>
      </w:pPr>
      <w:r>
        <w:t>F</w:t>
      </w:r>
      <w:r w:rsidR="009C12D0">
        <w:t>irst describing a structure for how it is proposed that the various stakeholders connect and work together (Section 5.2)</w:t>
      </w:r>
      <w:r>
        <w:t>;</w:t>
      </w:r>
    </w:p>
    <w:p w14:paraId="55E21D4F" w14:textId="41922359" w:rsidR="00DE55E7" w:rsidRPr="00DE55E7" w:rsidRDefault="00DE55E7" w:rsidP="006131D6">
      <w:pPr>
        <w:pStyle w:val="ListParagraph"/>
        <w:numPr>
          <w:ilvl w:val="0"/>
          <w:numId w:val="13"/>
        </w:numPr>
        <w:spacing w:after="120" w:line="216" w:lineRule="auto"/>
        <w:rPr>
          <w:rFonts w:ascii="Calibri" w:hAnsi="Calibri" w:cs="Calibri"/>
        </w:rPr>
      </w:pPr>
      <w:r>
        <w:t>D</w:t>
      </w:r>
      <w:r w:rsidR="009C12D0">
        <w:t>escribing the proposed funding mechanisms for the Regional EV Program (Section 5.3)</w:t>
      </w:r>
      <w:r>
        <w:t>;</w:t>
      </w:r>
    </w:p>
    <w:p w14:paraId="5E8B38B6" w14:textId="2C6418C2" w:rsidR="00DE55E7" w:rsidRPr="00DE55E7" w:rsidRDefault="00DE55E7" w:rsidP="006131D6">
      <w:pPr>
        <w:pStyle w:val="ListParagraph"/>
        <w:numPr>
          <w:ilvl w:val="0"/>
          <w:numId w:val="13"/>
        </w:numPr>
        <w:spacing w:after="240" w:line="216" w:lineRule="auto"/>
        <w:ind w:left="765" w:hanging="357"/>
        <w:rPr>
          <w:rFonts w:ascii="Calibri" w:hAnsi="Calibri" w:cs="Calibri"/>
        </w:rPr>
      </w:pPr>
      <w:r>
        <w:t xml:space="preserve">Using the above </w:t>
      </w:r>
      <w:r w:rsidR="009C12D0">
        <w:t>as a foundation on which to launch the earlier recommended EV activities</w:t>
      </w:r>
      <w:r>
        <w:t>, resulting in the development of a results framework for the proposed Regional EV Program Section 5.4).</w:t>
      </w:r>
    </w:p>
    <w:p w14:paraId="1E0B963B" w14:textId="74472742" w:rsidR="00052A8A" w:rsidRPr="00DE55E7" w:rsidRDefault="00825562" w:rsidP="00DE55E7">
      <w:pPr>
        <w:pStyle w:val="Heading2"/>
        <w:rPr>
          <w:rFonts w:asciiTheme="minorHAnsi" w:hAnsiTheme="minorHAnsi" w:cstheme="minorHAnsi"/>
          <w:b/>
          <w:bCs/>
          <w:color w:val="1F3864" w:themeColor="accent1" w:themeShade="80"/>
          <w:sz w:val="22"/>
          <w:szCs w:val="22"/>
        </w:rPr>
      </w:pPr>
      <w:bookmarkStart w:id="13" w:name="_Toc36839564"/>
      <w:r w:rsidRPr="00DE55E7">
        <w:rPr>
          <w:rFonts w:asciiTheme="minorHAnsi" w:hAnsiTheme="minorHAnsi" w:cstheme="minorHAnsi"/>
          <w:b/>
          <w:bCs/>
          <w:color w:val="1F3864" w:themeColor="accent1" w:themeShade="80"/>
          <w:sz w:val="22"/>
          <w:szCs w:val="22"/>
        </w:rPr>
        <w:t xml:space="preserve">Proposed </w:t>
      </w:r>
      <w:r w:rsidR="008A22F7">
        <w:rPr>
          <w:rFonts w:asciiTheme="minorHAnsi" w:hAnsiTheme="minorHAnsi" w:cstheme="minorHAnsi"/>
          <w:b/>
          <w:bCs/>
          <w:color w:val="1F3864" w:themeColor="accent1" w:themeShade="80"/>
          <w:sz w:val="22"/>
          <w:szCs w:val="22"/>
        </w:rPr>
        <w:t>Management and Governance Structure</w:t>
      </w:r>
      <w:bookmarkEnd w:id="13"/>
      <w:r w:rsidR="004B7475" w:rsidRPr="00DE55E7">
        <w:rPr>
          <w:rFonts w:asciiTheme="minorHAnsi" w:hAnsiTheme="minorHAnsi" w:cstheme="minorHAnsi"/>
          <w:b/>
          <w:bCs/>
          <w:color w:val="1F3864" w:themeColor="accent1" w:themeShade="80"/>
          <w:sz w:val="22"/>
          <w:szCs w:val="22"/>
        </w:rPr>
        <w:t xml:space="preserve"> </w:t>
      </w:r>
    </w:p>
    <w:p w14:paraId="344FB911" w14:textId="31FC2354" w:rsidR="00DE55E7" w:rsidRDefault="00D97F28" w:rsidP="00CF1287">
      <w:pPr>
        <w:spacing w:before="80" w:after="120" w:line="216" w:lineRule="auto"/>
        <w:rPr>
          <w:rFonts w:ascii="Calibri" w:hAnsi="Calibri" w:cs="Calibri"/>
        </w:rPr>
      </w:pPr>
      <w:r w:rsidRPr="00CF1287">
        <w:rPr>
          <w:b/>
          <w:noProof/>
          <w:sz w:val="20"/>
          <w:szCs w:val="20"/>
          <w:lang w:val="pt-BR" w:eastAsia="pt-BR"/>
        </w:rPr>
        <w:drawing>
          <wp:anchor distT="0" distB="0" distL="114300" distR="114300" simplePos="0" relativeHeight="251658752" behindDoc="0" locked="0" layoutInCell="1" allowOverlap="1" wp14:anchorId="5FFEE10E" wp14:editId="3680E6DF">
            <wp:simplePos x="0" y="0"/>
            <wp:positionH relativeFrom="margin">
              <wp:align>left</wp:align>
            </wp:positionH>
            <wp:positionV relativeFrom="paragraph">
              <wp:posOffset>829310</wp:posOffset>
            </wp:positionV>
            <wp:extent cx="5443220" cy="3695700"/>
            <wp:effectExtent l="133350" t="114300" r="138430" b="171450"/>
            <wp:wrapTopAndBottom/>
            <wp:docPr id="79" name="Picture 78">
              <a:extLst xmlns:a="http://schemas.openxmlformats.org/drawingml/2006/main">
                <a:ext uri="{FF2B5EF4-FFF2-40B4-BE49-F238E27FC236}">
                  <a16:creationId xmlns:a16="http://schemas.microsoft.com/office/drawing/2014/main" id="{ED645D68-2EB9-49F9-8B5C-91A80B51D4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8">
                      <a:extLst>
                        <a:ext uri="{FF2B5EF4-FFF2-40B4-BE49-F238E27FC236}">
                          <a16:creationId xmlns:a16="http://schemas.microsoft.com/office/drawing/2014/main" id="{ED645D68-2EB9-49F9-8B5C-91A80B51D4FF}"/>
                        </a:ext>
                      </a:extLst>
                    </pic:cNvPr>
                    <pic:cNvPicPr>
                      <a:picLocks noChangeAspect="1"/>
                    </pic:cNvPicPr>
                  </pic:nvPicPr>
                  <pic:blipFill rotWithShape="1">
                    <a:blip r:embed="rId23"/>
                    <a:srcRect l="8181" t="8995" r="6997" b="13756"/>
                    <a:stretch/>
                  </pic:blipFill>
                  <pic:spPr>
                    <a:xfrm>
                      <a:off x="0" y="0"/>
                      <a:ext cx="5443220" cy="3695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DE4981">
        <w:rPr>
          <w:rFonts w:ascii="Calibri" w:hAnsi="Calibri" w:cs="Calibri"/>
        </w:rPr>
        <w:t xml:space="preserve">As previously indicated, it is important that the program implementation strategy </w:t>
      </w:r>
      <w:r w:rsidR="00785C62">
        <w:rPr>
          <w:rFonts w:ascii="Calibri" w:hAnsi="Calibri" w:cs="Calibri"/>
        </w:rPr>
        <w:t xml:space="preserve">adopts the right balance between regional coordination, local ownership, preference for national execution and openness to manifold international partnerships. </w:t>
      </w:r>
      <w:r w:rsidR="00DE4981">
        <w:rPr>
          <w:rFonts w:ascii="Calibri" w:hAnsi="Calibri" w:cs="Calibri"/>
        </w:rPr>
        <w:t>F</w:t>
      </w:r>
      <w:r w:rsidR="005751FD">
        <w:rPr>
          <w:rFonts w:ascii="Calibri" w:hAnsi="Calibri" w:cs="Calibri"/>
        </w:rPr>
        <w:t>igure 1 looks at this arrangement spatially, to introduce the various stakehol</w:t>
      </w:r>
      <w:r w:rsidR="0094069F">
        <w:rPr>
          <w:rFonts w:ascii="Calibri" w:hAnsi="Calibri" w:cs="Calibri"/>
        </w:rPr>
        <w:t>d</w:t>
      </w:r>
      <w:r w:rsidR="005751FD">
        <w:rPr>
          <w:rFonts w:ascii="Calibri" w:hAnsi="Calibri" w:cs="Calibri"/>
        </w:rPr>
        <w:t>er</w:t>
      </w:r>
      <w:r w:rsidR="0094069F">
        <w:rPr>
          <w:rFonts w:ascii="Calibri" w:hAnsi="Calibri" w:cs="Calibri"/>
        </w:rPr>
        <w:t>s</w:t>
      </w:r>
      <w:r w:rsidR="00C52024">
        <w:rPr>
          <w:rFonts w:ascii="Calibri" w:hAnsi="Calibri" w:cs="Calibri"/>
        </w:rPr>
        <w:t xml:space="preserve"> involved in this EV </w:t>
      </w:r>
      <w:r w:rsidR="00EB462B">
        <w:rPr>
          <w:rFonts w:ascii="Calibri" w:hAnsi="Calibri" w:cs="Calibri"/>
        </w:rPr>
        <w:t>p</w:t>
      </w:r>
      <w:r w:rsidR="00C52024">
        <w:rPr>
          <w:rFonts w:ascii="Calibri" w:hAnsi="Calibri" w:cs="Calibri"/>
        </w:rPr>
        <w:t>rogram landscape</w:t>
      </w:r>
      <w:r w:rsidR="00DE55E7">
        <w:rPr>
          <w:rFonts w:ascii="Calibri" w:hAnsi="Calibri" w:cs="Calibri"/>
        </w:rPr>
        <w:t>:</w:t>
      </w:r>
    </w:p>
    <w:p w14:paraId="2BE8B1CB" w14:textId="19371E9A" w:rsidR="008D19BD" w:rsidRPr="00FD2DBB" w:rsidRDefault="00E32B9E" w:rsidP="00FF7D24">
      <w:pPr>
        <w:spacing w:after="120" w:line="216" w:lineRule="auto"/>
        <w:jc w:val="center"/>
        <w:rPr>
          <w:b/>
          <w:bCs/>
          <w:sz w:val="20"/>
          <w:szCs w:val="20"/>
        </w:rPr>
      </w:pPr>
      <w:r w:rsidRPr="00CF1287">
        <w:rPr>
          <w:b/>
          <w:noProof/>
          <w:sz w:val="20"/>
          <w:szCs w:val="20"/>
        </w:rPr>
        <w:t xml:space="preserve"> </w:t>
      </w:r>
      <w:r w:rsidR="00FD2DBB" w:rsidRPr="00CF1287">
        <w:rPr>
          <w:b/>
          <w:sz w:val="20"/>
          <w:szCs w:val="20"/>
        </w:rPr>
        <w:t xml:space="preserve">Figure </w:t>
      </w:r>
      <w:r w:rsidR="00FD2DBB" w:rsidRPr="00CF1287">
        <w:rPr>
          <w:b/>
          <w:sz w:val="20"/>
          <w:szCs w:val="20"/>
        </w:rPr>
        <w:fldChar w:fldCharType="begin"/>
      </w:r>
      <w:r w:rsidR="00FD2DBB" w:rsidRPr="00CF1287">
        <w:rPr>
          <w:b/>
          <w:sz w:val="20"/>
          <w:szCs w:val="20"/>
        </w:rPr>
        <w:instrText xml:space="preserve"> SEQ Figure \* ARABIC </w:instrText>
      </w:r>
      <w:r w:rsidR="00FD2DBB" w:rsidRPr="00CF1287">
        <w:rPr>
          <w:b/>
          <w:sz w:val="20"/>
          <w:szCs w:val="20"/>
        </w:rPr>
        <w:fldChar w:fldCharType="separate"/>
      </w:r>
      <w:r w:rsidR="00FD2DBB" w:rsidRPr="00CF1287">
        <w:rPr>
          <w:b/>
          <w:noProof/>
          <w:sz w:val="20"/>
          <w:szCs w:val="20"/>
        </w:rPr>
        <w:t>4</w:t>
      </w:r>
      <w:r w:rsidR="00FD2DBB" w:rsidRPr="00CF1287">
        <w:rPr>
          <w:b/>
          <w:sz w:val="20"/>
          <w:szCs w:val="20"/>
        </w:rPr>
        <w:fldChar w:fldCharType="end"/>
      </w:r>
      <w:r w:rsidR="00FD2DBB" w:rsidRPr="00CF1287">
        <w:rPr>
          <w:b/>
          <w:sz w:val="20"/>
          <w:szCs w:val="20"/>
        </w:rPr>
        <w:t xml:space="preserve">: </w:t>
      </w:r>
      <w:r w:rsidR="008D19BD" w:rsidRPr="00FD2DBB">
        <w:rPr>
          <w:b/>
          <w:bCs/>
          <w:sz w:val="20"/>
          <w:szCs w:val="20"/>
        </w:rPr>
        <w:t>Spatial Schematic of Proposed Regional EV Working Group Ecosystem</w:t>
      </w:r>
    </w:p>
    <w:p w14:paraId="18F9851A" w14:textId="37877A8C" w:rsidR="00785C62" w:rsidRDefault="00C35493" w:rsidP="00785C62">
      <w:pPr>
        <w:spacing w:after="120" w:line="216" w:lineRule="auto"/>
        <w:rPr>
          <w:rFonts w:ascii="Calibri" w:hAnsi="Calibri" w:cs="Calibri"/>
        </w:rPr>
      </w:pPr>
      <w:r>
        <w:rPr>
          <w:rFonts w:ascii="Calibri" w:hAnsi="Calibri" w:cs="Calibri"/>
        </w:rPr>
        <w:br/>
      </w:r>
      <w:r w:rsidR="00785C62">
        <w:rPr>
          <w:rFonts w:ascii="Calibri" w:hAnsi="Calibri" w:cs="Calibri"/>
        </w:rPr>
        <w:t xml:space="preserve">At the heart of this EV Program is the “Regional EV Coordination </w:t>
      </w:r>
      <w:r w:rsidR="00E32B9E">
        <w:rPr>
          <w:rFonts w:ascii="Calibri" w:hAnsi="Calibri" w:cs="Calibri"/>
        </w:rPr>
        <w:t>Hub</w:t>
      </w:r>
      <w:r w:rsidR="00785C62">
        <w:rPr>
          <w:rFonts w:ascii="Calibri" w:hAnsi="Calibri" w:cs="Calibri"/>
        </w:rPr>
        <w:t>”, which acts as a Pacific clearinghouse for EV island issues. It employs a number of technical and administrative staff and is responsible for the execution of the day-to-day activities of the program. It oversees the smooth implementation of the annual work plans and ensures communication and coherence between the various national, regional and international execution partners.</w:t>
      </w:r>
      <w:r w:rsidR="00B552A6">
        <w:rPr>
          <w:rFonts w:ascii="Calibri" w:hAnsi="Calibri" w:cs="Calibri"/>
        </w:rPr>
        <w:t xml:space="preserve"> The Regional EV Coordination Hub is provided direction by the PICT Energy and Transport Ministers and also by the</w:t>
      </w:r>
      <w:r w:rsidR="00785C62">
        <w:rPr>
          <w:rFonts w:ascii="Calibri" w:hAnsi="Calibri" w:cs="Calibri"/>
        </w:rPr>
        <w:t xml:space="preserve"> </w:t>
      </w:r>
      <w:r w:rsidR="00B552A6">
        <w:rPr>
          <w:rFonts w:ascii="Calibri" w:hAnsi="Calibri" w:cs="Calibri"/>
        </w:rPr>
        <w:t>Pacific Energy Advisory Group (PEAG) (both Program Directors).</w:t>
      </w:r>
      <w:r w:rsidR="00AF43B2">
        <w:rPr>
          <w:rFonts w:ascii="Calibri" w:hAnsi="Calibri" w:cs="Calibri"/>
        </w:rPr>
        <w:t xml:space="preserve"> PCREEE has offered to host the hub under the SPC framework. It is envisaged that UNIDO continues with its technical support for the hub in close coordination with other partners. </w:t>
      </w:r>
    </w:p>
    <w:p w14:paraId="3773ED72" w14:textId="1B0BF03A" w:rsidR="00785C62" w:rsidRDefault="00B552A6" w:rsidP="00785C62">
      <w:pPr>
        <w:spacing w:after="120" w:line="216" w:lineRule="auto"/>
        <w:rPr>
          <w:rFonts w:ascii="Calibri" w:hAnsi="Calibri" w:cs="Calibri"/>
        </w:rPr>
      </w:pPr>
      <w:r>
        <w:rPr>
          <w:rFonts w:ascii="Calibri" w:hAnsi="Calibri" w:cs="Calibri"/>
        </w:rPr>
        <w:t>Supported by agreed Policy Acti</w:t>
      </w:r>
      <w:r w:rsidR="000F5AC8">
        <w:rPr>
          <w:rFonts w:ascii="Calibri" w:hAnsi="Calibri" w:cs="Calibri"/>
        </w:rPr>
        <w:t>ons</w:t>
      </w:r>
      <w:r>
        <w:rPr>
          <w:rFonts w:ascii="Calibri" w:hAnsi="Calibri" w:cs="Calibri"/>
        </w:rPr>
        <w:t xml:space="preserve">, the </w:t>
      </w:r>
      <w:r w:rsidR="00E32B9E">
        <w:rPr>
          <w:rFonts w:ascii="Calibri" w:hAnsi="Calibri" w:cs="Calibri"/>
        </w:rPr>
        <w:t>hub</w:t>
      </w:r>
      <w:r w:rsidR="00785C62">
        <w:rPr>
          <w:rFonts w:ascii="Calibri" w:hAnsi="Calibri" w:cs="Calibri"/>
        </w:rPr>
        <w:t xml:space="preserve"> </w:t>
      </w:r>
      <w:r>
        <w:rPr>
          <w:rFonts w:ascii="Calibri" w:hAnsi="Calibri" w:cs="Calibri"/>
        </w:rPr>
        <w:t>provides</w:t>
      </w:r>
      <w:r w:rsidR="00785C62">
        <w:rPr>
          <w:rFonts w:ascii="Calibri" w:hAnsi="Calibri" w:cs="Calibri"/>
        </w:rPr>
        <w:t xml:space="preserve"> leadership in the agenda-setting and provides an umbrella for management, guardianship (monitoring) and quality assurance over the EV activities in the Pacific. The </w:t>
      </w:r>
      <w:r w:rsidR="00E32B9E">
        <w:rPr>
          <w:rFonts w:ascii="Calibri" w:hAnsi="Calibri" w:cs="Calibri"/>
        </w:rPr>
        <w:t>hub</w:t>
      </w:r>
      <w:r w:rsidR="00785C62">
        <w:rPr>
          <w:rFonts w:ascii="Calibri" w:hAnsi="Calibri" w:cs="Calibri"/>
        </w:rPr>
        <w:t xml:space="preserve"> will be organised by desks reflecting the key components of the EV program (</w:t>
      </w:r>
      <w:r w:rsidR="00785C62" w:rsidRPr="00851CF5">
        <w:rPr>
          <w:rFonts w:ascii="Calibri" w:hAnsi="Calibri" w:cs="Calibri"/>
        </w:rPr>
        <w:t>Central Policy and Administration</w:t>
      </w:r>
      <w:r w:rsidR="00785C62">
        <w:rPr>
          <w:rFonts w:ascii="Calibri" w:hAnsi="Calibri" w:cs="Calibri"/>
        </w:rPr>
        <w:t>”;</w:t>
      </w:r>
      <w:r w:rsidR="00785C62" w:rsidRPr="00851CF5">
        <w:rPr>
          <w:rFonts w:ascii="Calibri" w:hAnsi="Calibri" w:cs="Calibri"/>
        </w:rPr>
        <w:t xml:space="preserve"> </w:t>
      </w:r>
      <w:r w:rsidR="00785C62">
        <w:rPr>
          <w:rFonts w:ascii="Calibri" w:hAnsi="Calibri" w:cs="Calibri"/>
        </w:rPr>
        <w:t>“</w:t>
      </w:r>
      <w:r w:rsidR="00785C62" w:rsidRPr="00B02A4A">
        <w:rPr>
          <w:rFonts w:ascii="Calibri" w:hAnsi="Calibri" w:cs="Calibri"/>
        </w:rPr>
        <w:t>Standards and Guidelines</w:t>
      </w:r>
      <w:r w:rsidR="00785C62">
        <w:rPr>
          <w:rFonts w:ascii="Calibri" w:hAnsi="Calibri" w:cs="Calibri"/>
        </w:rPr>
        <w:t>”;</w:t>
      </w:r>
      <w:r w:rsidR="00785C62" w:rsidRPr="00851CF5">
        <w:rPr>
          <w:rFonts w:ascii="Calibri" w:hAnsi="Calibri" w:cs="Calibri"/>
        </w:rPr>
        <w:t xml:space="preserve"> </w:t>
      </w:r>
      <w:r w:rsidR="00785C62">
        <w:rPr>
          <w:rFonts w:ascii="Calibri" w:hAnsi="Calibri" w:cs="Calibri"/>
        </w:rPr>
        <w:t>“</w:t>
      </w:r>
      <w:r w:rsidR="00785C62" w:rsidRPr="00851CF5">
        <w:rPr>
          <w:rFonts w:ascii="Calibri" w:hAnsi="Calibri" w:cs="Calibri"/>
        </w:rPr>
        <w:t>Awareness and Promotion</w:t>
      </w:r>
      <w:r w:rsidR="00785C62">
        <w:rPr>
          <w:rFonts w:ascii="Calibri" w:hAnsi="Calibri" w:cs="Calibri"/>
        </w:rPr>
        <w:t>”; and</w:t>
      </w:r>
      <w:r w:rsidR="00785C62" w:rsidRPr="00851CF5">
        <w:rPr>
          <w:rFonts w:ascii="Calibri" w:hAnsi="Calibri" w:cs="Calibri"/>
        </w:rPr>
        <w:t xml:space="preserve"> </w:t>
      </w:r>
      <w:r w:rsidR="00785C62">
        <w:rPr>
          <w:rFonts w:ascii="Calibri" w:hAnsi="Calibri" w:cs="Calibri"/>
        </w:rPr>
        <w:t>“Demonstration and Upscale”).</w:t>
      </w:r>
    </w:p>
    <w:p w14:paraId="7568EE53" w14:textId="3F0A52BB" w:rsidR="00172245" w:rsidRDefault="00172245" w:rsidP="00785C62">
      <w:pPr>
        <w:spacing w:after="120" w:line="216" w:lineRule="auto"/>
        <w:rPr>
          <w:rFonts w:ascii="Calibri" w:hAnsi="Calibri" w:cs="Calibri"/>
        </w:rPr>
      </w:pPr>
      <w:r>
        <w:rPr>
          <w:rFonts w:ascii="Calibri" w:hAnsi="Calibri" w:cs="Calibri"/>
        </w:rPr>
        <w:lastRenderedPageBreak/>
        <w:t xml:space="preserve">The </w:t>
      </w:r>
      <w:r w:rsidR="00E32B9E">
        <w:rPr>
          <w:rFonts w:ascii="Calibri" w:hAnsi="Calibri" w:cs="Calibri"/>
        </w:rPr>
        <w:t>hub</w:t>
      </w:r>
      <w:r w:rsidR="00D368BE">
        <w:rPr>
          <w:rFonts w:ascii="Calibri" w:hAnsi="Calibri" w:cs="Calibri"/>
        </w:rPr>
        <w:t xml:space="preserve"> is well connected </w:t>
      </w:r>
      <w:r>
        <w:rPr>
          <w:rFonts w:ascii="Calibri" w:hAnsi="Calibri" w:cs="Calibri"/>
        </w:rPr>
        <w:t xml:space="preserve">to </w:t>
      </w:r>
      <w:r w:rsidR="00D368BE">
        <w:rPr>
          <w:rFonts w:ascii="Calibri" w:hAnsi="Calibri" w:cs="Calibri"/>
        </w:rPr>
        <w:t xml:space="preserve">the region through the PCREEE National Focal Institutions (NFIs), a network of “PICT </w:t>
      </w:r>
      <w:r w:rsidR="000438A1">
        <w:rPr>
          <w:rFonts w:ascii="Calibri" w:hAnsi="Calibri" w:cs="Calibri"/>
        </w:rPr>
        <w:t>EV National Contacts</w:t>
      </w:r>
      <w:r w:rsidR="00D368BE">
        <w:rPr>
          <w:rFonts w:ascii="Calibri" w:hAnsi="Calibri" w:cs="Calibri"/>
        </w:rPr>
        <w:t xml:space="preserve">” and “Regional EV Subject Experts” that are based in various PICTs. It will also ensure links to various international stakeholders and to “global EV information”. </w:t>
      </w:r>
      <w:r>
        <w:rPr>
          <w:rFonts w:ascii="Calibri" w:hAnsi="Calibri" w:cs="Calibri"/>
        </w:rPr>
        <w:t>SIDS-SIDS knowledge exchange on island e-mobility issues will be facilitated by PCREEE and UNIDO through the Global Network of Regional Sustainable Energy Centres (GN-SEC). Currently, CCREEE is involved the for</w:t>
      </w:r>
      <w:r w:rsidR="009261D2">
        <w:rPr>
          <w:rFonts w:ascii="Calibri" w:hAnsi="Calibri" w:cs="Calibri"/>
        </w:rPr>
        <w:t>mulation of a similar EV</w:t>
      </w:r>
      <w:r>
        <w:rPr>
          <w:rFonts w:ascii="Calibri" w:hAnsi="Calibri" w:cs="Calibri"/>
        </w:rPr>
        <w:t xml:space="preserve"> strategic framework</w:t>
      </w:r>
      <w:r w:rsidR="009261D2">
        <w:rPr>
          <w:rFonts w:ascii="Calibri" w:hAnsi="Calibri" w:cs="Calibri"/>
        </w:rPr>
        <w:t xml:space="preserve"> for the Caribbean</w:t>
      </w:r>
      <w:r>
        <w:rPr>
          <w:rFonts w:ascii="Calibri" w:hAnsi="Calibri" w:cs="Calibri"/>
        </w:rPr>
        <w:t xml:space="preserve">. </w:t>
      </w:r>
    </w:p>
    <w:p w14:paraId="558BE408" w14:textId="6ACA2A2C" w:rsidR="00785C62" w:rsidRDefault="008A22F7" w:rsidP="00B02A4A">
      <w:pPr>
        <w:spacing w:after="120" w:line="216" w:lineRule="auto"/>
        <w:rPr>
          <w:rFonts w:ascii="Calibri" w:hAnsi="Calibri" w:cs="Calibri"/>
        </w:rPr>
      </w:pPr>
      <w:r>
        <w:rPr>
          <w:rFonts w:ascii="Calibri" w:hAnsi="Calibri" w:cs="Calibri"/>
        </w:rPr>
        <w:t xml:space="preserve">The </w:t>
      </w:r>
      <w:r w:rsidR="00EE5617">
        <w:rPr>
          <w:rFonts w:ascii="Calibri" w:hAnsi="Calibri" w:cs="Calibri"/>
        </w:rPr>
        <w:t xml:space="preserve">management of the </w:t>
      </w:r>
      <w:r w:rsidR="000438A1">
        <w:rPr>
          <w:rFonts w:ascii="Calibri" w:hAnsi="Calibri" w:cs="Calibri"/>
        </w:rPr>
        <w:t>hub</w:t>
      </w:r>
      <w:r>
        <w:rPr>
          <w:rFonts w:ascii="Calibri" w:hAnsi="Calibri" w:cs="Calibri"/>
        </w:rPr>
        <w:t xml:space="preserve"> reports to a Regional EV Working Group, comprising a number of national</w:t>
      </w:r>
      <w:r w:rsidR="00785C62">
        <w:rPr>
          <w:rFonts w:ascii="Calibri" w:hAnsi="Calibri" w:cs="Calibri"/>
        </w:rPr>
        <w:t xml:space="preserve"> (PICTs </w:t>
      </w:r>
      <w:r w:rsidR="000438A1">
        <w:rPr>
          <w:rFonts w:ascii="Calibri" w:hAnsi="Calibri" w:cs="Calibri"/>
        </w:rPr>
        <w:t>EV National Contacts</w:t>
      </w:r>
      <w:r w:rsidR="00785C62">
        <w:rPr>
          <w:rFonts w:ascii="Calibri" w:hAnsi="Calibri" w:cs="Calibri"/>
        </w:rPr>
        <w:t>)</w:t>
      </w:r>
      <w:r>
        <w:rPr>
          <w:rFonts w:ascii="Calibri" w:hAnsi="Calibri" w:cs="Calibri"/>
        </w:rPr>
        <w:t>, regional</w:t>
      </w:r>
      <w:r w:rsidR="00785C62">
        <w:rPr>
          <w:rFonts w:ascii="Calibri" w:hAnsi="Calibri" w:cs="Calibri"/>
        </w:rPr>
        <w:t xml:space="preserve"> (Regional EV Subject Experts)</w:t>
      </w:r>
      <w:r>
        <w:rPr>
          <w:rFonts w:ascii="Calibri" w:hAnsi="Calibri" w:cs="Calibri"/>
        </w:rPr>
        <w:t xml:space="preserve"> and international </w:t>
      </w:r>
      <w:r w:rsidR="00EE5617">
        <w:rPr>
          <w:rFonts w:ascii="Calibri" w:hAnsi="Calibri" w:cs="Calibri"/>
        </w:rPr>
        <w:t xml:space="preserve">key </w:t>
      </w:r>
      <w:r>
        <w:rPr>
          <w:rFonts w:ascii="Calibri" w:hAnsi="Calibri" w:cs="Calibri"/>
        </w:rPr>
        <w:t>stakeholders</w:t>
      </w:r>
      <w:r w:rsidR="00EE5617">
        <w:rPr>
          <w:rFonts w:ascii="Calibri" w:hAnsi="Calibri" w:cs="Calibri"/>
        </w:rPr>
        <w:t xml:space="preserve"> and core partners</w:t>
      </w:r>
      <w:r>
        <w:rPr>
          <w:rFonts w:ascii="Calibri" w:hAnsi="Calibri" w:cs="Calibri"/>
        </w:rPr>
        <w:t xml:space="preserve">. The detailed composition will be defined during the establishment phase of the </w:t>
      </w:r>
      <w:r w:rsidR="00785C62">
        <w:rPr>
          <w:rFonts w:ascii="Calibri" w:hAnsi="Calibri" w:cs="Calibri"/>
        </w:rPr>
        <w:t>program</w:t>
      </w:r>
      <w:r>
        <w:rPr>
          <w:rFonts w:ascii="Calibri" w:hAnsi="Calibri" w:cs="Calibri"/>
        </w:rPr>
        <w:t xml:space="preserve">. The annual work plans </w:t>
      </w:r>
      <w:r w:rsidR="00EE5617">
        <w:rPr>
          <w:rFonts w:ascii="Calibri" w:hAnsi="Calibri" w:cs="Calibri"/>
        </w:rPr>
        <w:t xml:space="preserve">(incl. budgets) </w:t>
      </w:r>
      <w:r>
        <w:rPr>
          <w:rFonts w:ascii="Calibri" w:hAnsi="Calibri" w:cs="Calibri"/>
        </w:rPr>
        <w:t xml:space="preserve">and progress reports developed by the </w:t>
      </w:r>
      <w:r w:rsidR="000438A1">
        <w:rPr>
          <w:rFonts w:ascii="Calibri" w:hAnsi="Calibri" w:cs="Calibri"/>
        </w:rPr>
        <w:t>hub</w:t>
      </w:r>
      <w:r>
        <w:rPr>
          <w:rFonts w:ascii="Calibri" w:hAnsi="Calibri" w:cs="Calibri"/>
        </w:rPr>
        <w:t xml:space="preserve"> are subject to the approval by the </w:t>
      </w:r>
      <w:r w:rsidR="00EE5617">
        <w:rPr>
          <w:rFonts w:ascii="Calibri" w:hAnsi="Calibri" w:cs="Calibri"/>
        </w:rPr>
        <w:t>EV Working Group.</w:t>
      </w:r>
    </w:p>
    <w:p w14:paraId="32A40CD7" w14:textId="77777777" w:rsidR="009A6F5A" w:rsidRDefault="00EF2505" w:rsidP="009A6F5A">
      <w:pPr>
        <w:spacing w:after="120" w:line="216" w:lineRule="auto"/>
        <w:rPr>
          <w:rFonts w:ascii="Calibri" w:hAnsi="Calibri" w:cs="Calibri"/>
        </w:rPr>
      </w:pPr>
      <w:r>
        <w:rPr>
          <w:rFonts w:ascii="Calibri" w:hAnsi="Calibri" w:cs="Calibri"/>
        </w:rPr>
        <w:t xml:space="preserve">The </w:t>
      </w:r>
      <w:r w:rsidR="00785C62">
        <w:rPr>
          <w:rFonts w:ascii="Calibri" w:hAnsi="Calibri" w:cs="Calibri"/>
        </w:rPr>
        <w:t xml:space="preserve">annual </w:t>
      </w:r>
      <w:r>
        <w:rPr>
          <w:rFonts w:ascii="Calibri" w:hAnsi="Calibri" w:cs="Calibri"/>
        </w:rPr>
        <w:t>work plans will include the activities of all members of the EV Working Group</w:t>
      </w:r>
      <w:r w:rsidR="00785C62">
        <w:rPr>
          <w:rFonts w:ascii="Calibri" w:hAnsi="Calibri" w:cs="Calibri"/>
        </w:rPr>
        <w:t xml:space="preserve"> (incl. those not directly implemented but coordinated by the </w:t>
      </w:r>
      <w:r w:rsidR="000438A1">
        <w:rPr>
          <w:rFonts w:ascii="Calibri" w:hAnsi="Calibri" w:cs="Calibri"/>
        </w:rPr>
        <w:t>hub</w:t>
      </w:r>
      <w:r w:rsidR="00785C62">
        <w:rPr>
          <w:rFonts w:ascii="Calibri" w:hAnsi="Calibri" w:cs="Calibri"/>
        </w:rPr>
        <w:t>)</w:t>
      </w:r>
      <w:r>
        <w:rPr>
          <w:rFonts w:ascii="Calibri" w:hAnsi="Calibri" w:cs="Calibri"/>
        </w:rPr>
        <w:t xml:space="preserve">. </w:t>
      </w:r>
      <w:r w:rsidR="00785C62">
        <w:rPr>
          <w:rFonts w:ascii="Calibri" w:hAnsi="Calibri" w:cs="Calibri"/>
        </w:rPr>
        <w:t>Technical support is also provided to the various EV activities amongst Small Island Developing States (SIDS)</w:t>
      </w:r>
      <w:r w:rsidR="00785C62">
        <w:rPr>
          <w:rStyle w:val="FootnoteReference"/>
          <w:rFonts w:ascii="Calibri" w:hAnsi="Calibri" w:cs="Calibri"/>
        </w:rPr>
        <w:footnoteReference w:id="9"/>
      </w:r>
      <w:r w:rsidR="00785C62">
        <w:rPr>
          <w:rFonts w:ascii="Calibri" w:hAnsi="Calibri" w:cs="Calibri"/>
        </w:rPr>
        <w:t>, including cooperation activities and access to “global EV information”</w:t>
      </w:r>
      <w:r w:rsidR="00BF004C">
        <w:rPr>
          <w:rFonts w:ascii="Calibri" w:hAnsi="Calibri" w:cs="Calibri"/>
        </w:rPr>
        <w:t>, including that through</w:t>
      </w:r>
      <w:r w:rsidR="00785C62">
        <w:rPr>
          <w:rFonts w:ascii="Calibri" w:hAnsi="Calibri" w:cs="Calibri"/>
        </w:rPr>
        <w:t xml:space="preserve"> the use of Technical Assistance (TA) projects. </w:t>
      </w:r>
      <w:r w:rsidR="00D368BE">
        <w:rPr>
          <w:rFonts w:ascii="Calibri" w:hAnsi="Calibri" w:cs="Calibri"/>
        </w:rPr>
        <w:t xml:space="preserve">The </w:t>
      </w:r>
      <w:r w:rsidR="000438A1">
        <w:rPr>
          <w:rFonts w:ascii="Calibri" w:hAnsi="Calibri" w:cs="Calibri"/>
        </w:rPr>
        <w:t xml:space="preserve">EV Working </w:t>
      </w:r>
      <w:r w:rsidR="00785C62">
        <w:rPr>
          <w:rFonts w:ascii="Calibri" w:hAnsi="Calibri" w:cs="Calibri"/>
        </w:rPr>
        <w:t>Group</w:t>
      </w:r>
      <w:r w:rsidR="00D368BE">
        <w:rPr>
          <w:rFonts w:ascii="Calibri" w:hAnsi="Calibri" w:cs="Calibri"/>
        </w:rPr>
        <w:t xml:space="preserve"> </w:t>
      </w:r>
      <w:r w:rsidR="00EE5617">
        <w:rPr>
          <w:rFonts w:ascii="Calibri" w:hAnsi="Calibri" w:cs="Calibri"/>
        </w:rPr>
        <w:t xml:space="preserve">will also oversee the general performance of the </w:t>
      </w:r>
      <w:r w:rsidR="000438A1">
        <w:rPr>
          <w:rFonts w:ascii="Calibri" w:hAnsi="Calibri" w:cs="Calibri"/>
        </w:rPr>
        <w:t>hub</w:t>
      </w:r>
      <w:r w:rsidR="00EE5617">
        <w:rPr>
          <w:rFonts w:ascii="Calibri" w:hAnsi="Calibri" w:cs="Calibri"/>
        </w:rPr>
        <w:t xml:space="preserve"> and </w:t>
      </w:r>
      <w:r w:rsidR="00D368BE">
        <w:rPr>
          <w:rFonts w:ascii="Calibri" w:hAnsi="Calibri" w:cs="Calibri"/>
        </w:rPr>
        <w:t xml:space="preserve">will provide updates to the Pacific Energy Advisory Group (PEAG) and the </w:t>
      </w:r>
      <w:r w:rsidR="00EE5617">
        <w:rPr>
          <w:rFonts w:ascii="Calibri" w:hAnsi="Calibri" w:cs="Calibri"/>
        </w:rPr>
        <w:t xml:space="preserve">Pacific Ministers of Energy and Transport. </w:t>
      </w:r>
      <w:r w:rsidR="008F027C">
        <w:rPr>
          <w:rFonts w:ascii="Calibri" w:hAnsi="Calibri" w:cs="Calibri"/>
        </w:rPr>
        <w:t xml:space="preserve">Figure 2 provides a </w:t>
      </w:r>
      <w:r w:rsidR="004A511B">
        <w:rPr>
          <w:rFonts w:ascii="Calibri" w:hAnsi="Calibri" w:cs="Calibri"/>
        </w:rPr>
        <w:t xml:space="preserve">management and communications </w:t>
      </w:r>
      <w:r w:rsidR="008F027C">
        <w:rPr>
          <w:rFonts w:ascii="Calibri" w:hAnsi="Calibri" w:cs="Calibri"/>
        </w:rPr>
        <w:t>structure</w:t>
      </w:r>
      <w:r w:rsidR="00C52024">
        <w:rPr>
          <w:rFonts w:ascii="Calibri" w:hAnsi="Calibri" w:cs="Calibri"/>
        </w:rPr>
        <w:t xml:space="preserve"> view of th</w:t>
      </w:r>
      <w:r w:rsidR="00DE55E7">
        <w:rPr>
          <w:rFonts w:ascii="Calibri" w:hAnsi="Calibri" w:cs="Calibri"/>
        </w:rPr>
        <w:t>is proposed stakeholder arrangement</w:t>
      </w:r>
      <w:r w:rsidR="008F027C">
        <w:rPr>
          <w:rFonts w:ascii="Calibri" w:hAnsi="Calibri" w:cs="Calibri"/>
        </w:rPr>
        <w:t xml:space="preserve">. </w:t>
      </w:r>
    </w:p>
    <w:p w14:paraId="141BC6B7" w14:textId="27ACFE49" w:rsidR="008F195F" w:rsidRDefault="009A6F5A" w:rsidP="009A6F5A">
      <w:pPr>
        <w:spacing w:after="120" w:line="216" w:lineRule="auto"/>
        <w:jc w:val="center"/>
        <w:rPr>
          <w:rFonts w:ascii="Calibri" w:hAnsi="Calibri" w:cs="Calibri"/>
        </w:rPr>
      </w:pPr>
      <w:r>
        <w:rPr>
          <w:rFonts w:ascii="Calibri" w:hAnsi="Calibri" w:cs="Calibri"/>
          <w:noProof/>
          <w:lang w:val="pt-BR" w:eastAsia="pt-BR"/>
        </w:rPr>
        <w:drawing>
          <wp:inline distT="0" distB="0" distL="0" distR="0" wp14:anchorId="4DAD8DC8" wp14:editId="5713A4FA">
            <wp:extent cx="5369590" cy="4311650"/>
            <wp:effectExtent l="0" t="0" r="254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35503" cy="4364577"/>
                    </a:xfrm>
                    <a:prstGeom prst="rect">
                      <a:avLst/>
                    </a:prstGeom>
                    <a:noFill/>
                  </pic:spPr>
                </pic:pic>
              </a:graphicData>
            </a:graphic>
          </wp:inline>
        </w:drawing>
      </w:r>
    </w:p>
    <w:p w14:paraId="0818D7FD" w14:textId="27ADE76A" w:rsidR="009A6F5A" w:rsidRDefault="000B075B" w:rsidP="009A6F5A">
      <w:pPr>
        <w:spacing w:after="120" w:line="216" w:lineRule="auto"/>
        <w:jc w:val="center"/>
        <w:rPr>
          <w:b/>
          <w:bCs/>
          <w:sz w:val="20"/>
          <w:szCs w:val="20"/>
        </w:rPr>
      </w:pPr>
      <w:r w:rsidRPr="00995C46">
        <w:rPr>
          <w:b/>
          <w:sz w:val="20"/>
          <w:szCs w:val="20"/>
        </w:rPr>
        <w:t xml:space="preserve">Figure </w:t>
      </w:r>
      <w:r w:rsidRPr="00995C46">
        <w:rPr>
          <w:b/>
          <w:sz w:val="20"/>
          <w:szCs w:val="20"/>
        </w:rPr>
        <w:fldChar w:fldCharType="begin"/>
      </w:r>
      <w:r w:rsidRPr="00995C46">
        <w:rPr>
          <w:b/>
          <w:sz w:val="20"/>
          <w:szCs w:val="20"/>
        </w:rPr>
        <w:instrText xml:space="preserve"> SEQ Figure \* ARABIC </w:instrText>
      </w:r>
      <w:r w:rsidRPr="00995C46">
        <w:rPr>
          <w:b/>
          <w:sz w:val="20"/>
          <w:szCs w:val="20"/>
        </w:rPr>
        <w:fldChar w:fldCharType="separate"/>
      </w:r>
      <w:r>
        <w:rPr>
          <w:b/>
          <w:noProof/>
          <w:sz w:val="20"/>
          <w:szCs w:val="20"/>
        </w:rPr>
        <w:t>5</w:t>
      </w:r>
      <w:r w:rsidRPr="00995C46">
        <w:rPr>
          <w:b/>
          <w:sz w:val="20"/>
          <w:szCs w:val="20"/>
        </w:rPr>
        <w:fldChar w:fldCharType="end"/>
      </w:r>
      <w:r w:rsidR="009A6F5A" w:rsidRPr="004A1653">
        <w:rPr>
          <w:b/>
          <w:bCs/>
          <w:sz w:val="20"/>
          <w:szCs w:val="20"/>
        </w:rPr>
        <w:t>: Proposed</w:t>
      </w:r>
      <w:r w:rsidR="009A6F5A">
        <w:rPr>
          <w:b/>
          <w:bCs/>
          <w:sz w:val="20"/>
          <w:szCs w:val="20"/>
        </w:rPr>
        <w:t xml:space="preserve"> Management and Communications Structure of the </w:t>
      </w:r>
      <w:r w:rsidR="009A6F5A" w:rsidRPr="004A1653">
        <w:rPr>
          <w:b/>
          <w:bCs/>
          <w:sz w:val="20"/>
          <w:szCs w:val="20"/>
        </w:rPr>
        <w:t xml:space="preserve">Regional EV </w:t>
      </w:r>
      <w:r w:rsidR="009A6F5A">
        <w:rPr>
          <w:b/>
          <w:bCs/>
          <w:sz w:val="20"/>
          <w:szCs w:val="20"/>
        </w:rPr>
        <w:t>Program</w:t>
      </w:r>
    </w:p>
    <w:p w14:paraId="2DC21CB1" w14:textId="77777777" w:rsidR="00FA456C" w:rsidRDefault="00FA456C" w:rsidP="00B02A4A">
      <w:pPr>
        <w:spacing w:after="120" w:line="216" w:lineRule="auto"/>
        <w:rPr>
          <w:rFonts w:ascii="Calibri" w:hAnsi="Calibri" w:cs="Calibri"/>
        </w:rPr>
      </w:pPr>
    </w:p>
    <w:p w14:paraId="08A31D3F" w14:textId="12B11011" w:rsidR="00E61FBF" w:rsidRDefault="00E61FBF" w:rsidP="00B02A4A">
      <w:pPr>
        <w:spacing w:after="120" w:line="216" w:lineRule="auto"/>
        <w:rPr>
          <w:rFonts w:ascii="Calibri" w:hAnsi="Calibri" w:cs="Calibri"/>
        </w:rPr>
      </w:pPr>
      <w:r>
        <w:rPr>
          <w:rFonts w:ascii="Calibri" w:hAnsi="Calibri" w:cs="Calibri"/>
        </w:rPr>
        <w:t xml:space="preserve">It is proposed that technical support is provided at a regional level to the various EV activities from “Regional Subject Experts” – from people within the region </w:t>
      </w:r>
      <w:r w:rsidR="0016450D">
        <w:rPr>
          <w:rFonts w:ascii="Calibri" w:hAnsi="Calibri" w:cs="Calibri"/>
        </w:rPr>
        <w:t xml:space="preserve">who </w:t>
      </w:r>
      <w:r>
        <w:rPr>
          <w:rFonts w:ascii="Calibri" w:hAnsi="Calibri" w:cs="Calibri"/>
        </w:rPr>
        <w:t xml:space="preserve">are recognised experts in certain fields and </w:t>
      </w:r>
      <w:r w:rsidR="0016450D">
        <w:rPr>
          <w:rFonts w:ascii="Calibri" w:hAnsi="Calibri" w:cs="Calibri"/>
        </w:rPr>
        <w:t xml:space="preserve">who are </w:t>
      </w:r>
      <w:r>
        <w:rPr>
          <w:rFonts w:ascii="Calibri" w:hAnsi="Calibri" w:cs="Calibri"/>
        </w:rPr>
        <w:t xml:space="preserve">supported to become the </w:t>
      </w:r>
      <w:r w:rsidR="00BF004C">
        <w:rPr>
          <w:rFonts w:ascii="Calibri" w:hAnsi="Calibri" w:cs="Calibri"/>
        </w:rPr>
        <w:t>R</w:t>
      </w:r>
      <w:r>
        <w:rPr>
          <w:rFonts w:ascii="Calibri" w:hAnsi="Calibri" w:cs="Calibri"/>
        </w:rPr>
        <w:t xml:space="preserve">egional EV </w:t>
      </w:r>
      <w:r w:rsidR="00BF004C">
        <w:rPr>
          <w:rFonts w:ascii="Calibri" w:hAnsi="Calibri" w:cs="Calibri"/>
        </w:rPr>
        <w:t>S</w:t>
      </w:r>
      <w:r>
        <w:rPr>
          <w:rFonts w:ascii="Calibri" w:hAnsi="Calibri" w:cs="Calibri"/>
        </w:rPr>
        <w:t xml:space="preserve">ubject </w:t>
      </w:r>
      <w:r w:rsidR="00BF004C">
        <w:rPr>
          <w:rFonts w:ascii="Calibri" w:hAnsi="Calibri" w:cs="Calibri"/>
        </w:rPr>
        <w:t>E</w:t>
      </w:r>
      <w:r>
        <w:rPr>
          <w:rFonts w:ascii="Calibri" w:hAnsi="Calibri" w:cs="Calibri"/>
        </w:rPr>
        <w:t>xpert</w:t>
      </w:r>
      <w:r w:rsidR="00BF004C">
        <w:rPr>
          <w:rFonts w:ascii="Calibri" w:hAnsi="Calibri" w:cs="Calibri"/>
        </w:rPr>
        <w:t>s</w:t>
      </w:r>
      <w:r>
        <w:rPr>
          <w:rFonts w:ascii="Calibri" w:hAnsi="Calibri" w:cs="Calibri"/>
        </w:rPr>
        <w:t xml:space="preserve"> in their field. </w:t>
      </w:r>
    </w:p>
    <w:p w14:paraId="666B8179" w14:textId="77777777" w:rsidR="00AD6D63" w:rsidRPr="00FE0F6C" w:rsidRDefault="0030465E">
      <w:pPr>
        <w:spacing w:after="120" w:line="216" w:lineRule="auto"/>
        <w:rPr>
          <w:rFonts w:ascii="Calibri" w:hAnsi="Calibri" w:cs="Calibri"/>
        </w:rPr>
      </w:pPr>
      <w:r>
        <w:rPr>
          <w:rFonts w:ascii="Calibri" w:hAnsi="Calibri" w:cs="Calibri"/>
        </w:rPr>
        <w:lastRenderedPageBreak/>
        <w:t>The</w:t>
      </w:r>
      <w:r w:rsidR="005B4D41">
        <w:rPr>
          <w:rFonts w:ascii="Calibri" w:hAnsi="Calibri" w:cs="Calibri"/>
        </w:rPr>
        <w:t xml:space="preserve"> various </w:t>
      </w:r>
      <w:r w:rsidR="00446521">
        <w:rPr>
          <w:rFonts w:ascii="Calibri" w:hAnsi="Calibri" w:cs="Calibri"/>
        </w:rPr>
        <w:t>entities working within th</w:t>
      </w:r>
      <w:r w:rsidR="00C52024">
        <w:rPr>
          <w:rFonts w:ascii="Calibri" w:hAnsi="Calibri" w:cs="Calibri"/>
        </w:rPr>
        <w:t>is</w:t>
      </w:r>
      <w:r w:rsidR="00446521">
        <w:rPr>
          <w:rFonts w:ascii="Calibri" w:hAnsi="Calibri" w:cs="Calibri"/>
        </w:rPr>
        <w:t xml:space="preserve"> </w:t>
      </w:r>
      <w:r w:rsidR="005B4D41">
        <w:rPr>
          <w:rFonts w:ascii="Calibri" w:hAnsi="Calibri" w:cs="Calibri"/>
        </w:rPr>
        <w:t xml:space="preserve">proposed Regional EV </w:t>
      </w:r>
      <w:r w:rsidR="00446521">
        <w:rPr>
          <w:rFonts w:ascii="Calibri" w:hAnsi="Calibri" w:cs="Calibri"/>
        </w:rPr>
        <w:t>Program</w:t>
      </w:r>
      <w:r w:rsidR="005B4D41">
        <w:rPr>
          <w:rFonts w:ascii="Calibri" w:hAnsi="Calibri" w:cs="Calibri"/>
        </w:rPr>
        <w:t xml:space="preserve"> and their respective responsibilities</w:t>
      </w:r>
      <w:r w:rsidR="008B4292">
        <w:rPr>
          <w:rFonts w:ascii="Calibri" w:hAnsi="Calibri" w:cs="Calibri"/>
        </w:rPr>
        <w:t xml:space="preserve"> are</w:t>
      </w:r>
      <w:r w:rsidR="005B4D41">
        <w:rPr>
          <w:rFonts w:ascii="Calibri" w:hAnsi="Calibri" w:cs="Calibri"/>
        </w:rPr>
        <w:t>:</w:t>
      </w:r>
      <w:r w:rsidR="001B65FB">
        <w:rPr>
          <w:rFonts w:ascii="Calibri" w:hAnsi="Calibri" w:cs="Calibri"/>
        </w:rPr>
        <w:t xml:space="preserve"> </w:t>
      </w:r>
    </w:p>
    <w:p w14:paraId="4552E695" w14:textId="30EBF24C" w:rsidR="00550245" w:rsidRPr="00FF7D24" w:rsidRDefault="00BF004C" w:rsidP="00FF7D24">
      <w:pPr>
        <w:spacing w:after="0" w:line="216" w:lineRule="auto"/>
        <w:rPr>
          <w:rFonts w:ascii="Calibri" w:hAnsi="Calibri" w:cs="Calibri"/>
        </w:rPr>
      </w:pPr>
      <w:r w:rsidRPr="00FF7D24">
        <w:rPr>
          <w:rFonts w:ascii="Calibri" w:hAnsi="Calibri" w:cs="Calibri"/>
          <w:b/>
          <w:bCs/>
        </w:rPr>
        <w:t xml:space="preserve">The </w:t>
      </w:r>
      <w:r w:rsidR="005F7325" w:rsidRPr="00FF7D24">
        <w:rPr>
          <w:rFonts w:ascii="Calibri" w:hAnsi="Calibri" w:cs="Calibri"/>
          <w:b/>
          <w:bCs/>
        </w:rPr>
        <w:t xml:space="preserve">Regional EV </w:t>
      </w:r>
      <w:r w:rsidR="006061FC" w:rsidRPr="00FF7D24">
        <w:rPr>
          <w:rFonts w:ascii="Calibri" w:hAnsi="Calibri" w:cs="Calibri"/>
          <w:b/>
          <w:bCs/>
        </w:rPr>
        <w:t xml:space="preserve">Coordination </w:t>
      </w:r>
      <w:r w:rsidR="00EB462B" w:rsidRPr="00FF7D24">
        <w:rPr>
          <w:rFonts w:ascii="Calibri" w:hAnsi="Calibri" w:cs="Calibri"/>
          <w:b/>
          <w:bCs/>
        </w:rPr>
        <w:t xml:space="preserve">Hub </w:t>
      </w:r>
      <w:r w:rsidR="00550245" w:rsidRPr="00FF7D24">
        <w:rPr>
          <w:rFonts w:ascii="Calibri" w:hAnsi="Calibri" w:cs="Calibri"/>
        </w:rPr>
        <w:t>– it is proposed that:</w:t>
      </w:r>
    </w:p>
    <w:p w14:paraId="1864C3FD" w14:textId="7A072A4B" w:rsidR="00F64D3F" w:rsidRPr="00FF7D24" w:rsidRDefault="006061FC" w:rsidP="006131D6">
      <w:pPr>
        <w:pStyle w:val="ListParagraph"/>
        <w:numPr>
          <w:ilvl w:val="0"/>
          <w:numId w:val="15"/>
        </w:numPr>
        <w:spacing w:before="120" w:after="0" w:line="216" w:lineRule="auto"/>
        <w:ind w:left="709"/>
        <w:rPr>
          <w:rFonts w:ascii="Calibri" w:hAnsi="Calibri" w:cs="Calibri"/>
        </w:rPr>
      </w:pPr>
      <w:r w:rsidRPr="00FF7D24">
        <w:rPr>
          <w:rFonts w:ascii="Calibri" w:hAnsi="Calibri" w:cs="Calibri"/>
        </w:rPr>
        <w:t xml:space="preserve">The Regional </w:t>
      </w:r>
      <w:r w:rsidR="00FE5BDA" w:rsidRPr="00FF7D24">
        <w:rPr>
          <w:rFonts w:ascii="Calibri" w:hAnsi="Calibri" w:cs="Calibri"/>
        </w:rPr>
        <w:t>EV</w:t>
      </w:r>
      <w:r w:rsidR="004A1653" w:rsidRPr="00FF7D24">
        <w:rPr>
          <w:rFonts w:ascii="Calibri" w:hAnsi="Calibri" w:cs="Calibri"/>
        </w:rPr>
        <w:t xml:space="preserve"> </w:t>
      </w:r>
      <w:r w:rsidR="00EB462B" w:rsidRPr="00FF7D24">
        <w:rPr>
          <w:rFonts w:ascii="Calibri" w:hAnsi="Calibri" w:cs="Calibri"/>
        </w:rPr>
        <w:t>Coordination Hub</w:t>
      </w:r>
      <w:r w:rsidRPr="00FF7D24">
        <w:rPr>
          <w:rFonts w:ascii="Calibri" w:hAnsi="Calibri" w:cs="Calibri"/>
        </w:rPr>
        <w:t xml:space="preserve"> comprise </w:t>
      </w:r>
      <w:r w:rsidR="005F7325" w:rsidRPr="00FF7D24">
        <w:rPr>
          <w:rFonts w:ascii="Calibri" w:hAnsi="Calibri" w:cs="Calibri"/>
        </w:rPr>
        <w:t>four main desks</w:t>
      </w:r>
      <w:r w:rsidR="00F64D3F" w:rsidRPr="00FF7D24">
        <w:rPr>
          <w:rFonts w:ascii="Calibri" w:hAnsi="Calibri" w:cs="Calibri"/>
        </w:rPr>
        <w:t>:</w:t>
      </w:r>
    </w:p>
    <w:p w14:paraId="6CBF7CED" w14:textId="77777777" w:rsidR="00F64D3F" w:rsidRDefault="00066DC5" w:rsidP="006131D6">
      <w:pPr>
        <w:pStyle w:val="ListParagraph"/>
        <w:numPr>
          <w:ilvl w:val="1"/>
          <w:numId w:val="10"/>
        </w:numPr>
        <w:spacing w:after="0" w:line="216" w:lineRule="auto"/>
        <w:rPr>
          <w:rFonts w:ascii="Calibri" w:hAnsi="Calibri" w:cs="Calibri"/>
        </w:rPr>
      </w:pPr>
      <w:r w:rsidRPr="00B02A4A">
        <w:rPr>
          <w:rFonts w:ascii="Calibri" w:hAnsi="Calibri" w:cs="Calibri"/>
        </w:rPr>
        <w:t>Central Policy and Administration;</w:t>
      </w:r>
    </w:p>
    <w:p w14:paraId="09287CE6" w14:textId="77777777" w:rsidR="00F64D3F" w:rsidRDefault="00066DC5" w:rsidP="006131D6">
      <w:pPr>
        <w:pStyle w:val="ListParagraph"/>
        <w:numPr>
          <w:ilvl w:val="1"/>
          <w:numId w:val="10"/>
        </w:numPr>
        <w:spacing w:after="0" w:line="216" w:lineRule="auto"/>
        <w:rPr>
          <w:rFonts w:ascii="Calibri" w:hAnsi="Calibri" w:cs="Calibri"/>
        </w:rPr>
      </w:pPr>
      <w:r w:rsidRPr="00B02A4A">
        <w:rPr>
          <w:rFonts w:ascii="Calibri" w:hAnsi="Calibri" w:cs="Calibri"/>
        </w:rPr>
        <w:t xml:space="preserve">Standards and Guidelines; </w:t>
      </w:r>
    </w:p>
    <w:p w14:paraId="714C2D23" w14:textId="77777777" w:rsidR="00F64D3F" w:rsidRDefault="00066DC5" w:rsidP="006131D6">
      <w:pPr>
        <w:pStyle w:val="ListParagraph"/>
        <w:numPr>
          <w:ilvl w:val="1"/>
          <w:numId w:val="10"/>
        </w:numPr>
        <w:spacing w:after="120" w:line="216" w:lineRule="auto"/>
        <w:rPr>
          <w:rFonts w:ascii="Calibri" w:hAnsi="Calibri" w:cs="Calibri"/>
        </w:rPr>
      </w:pPr>
      <w:r w:rsidRPr="00B02A4A">
        <w:rPr>
          <w:rFonts w:ascii="Calibri" w:hAnsi="Calibri" w:cs="Calibri"/>
        </w:rPr>
        <w:t xml:space="preserve">Awareness and Promotion; and </w:t>
      </w:r>
    </w:p>
    <w:p w14:paraId="126C90A7" w14:textId="77777777" w:rsidR="00550245" w:rsidRDefault="00E63FAA" w:rsidP="006131D6">
      <w:pPr>
        <w:pStyle w:val="ListParagraph"/>
        <w:numPr>
          <w:ilvl w:val="1"/>
          <w:numId w:val="10"/>
        </w:numPr>
        <w:spacing w:after="120" w:line="216" w:lineRule="auto"/>
        <w:rPr>
          <w:rFonts w:ascii="Calibri" w:hAnsi="Calibri" w:cs="Calibri"/>
        </w:rPr>
      </w:pPr>
      <w:r>
        <w:rPr>
          <w:rFonts w:ascii="Calibri" w:hAnsi="Calibri" w:cs="Calibri"/>
        </w:rPr>
        <w:t>Demonstration and Upscale</w:t>
      </w:r>
      <w:r w:rsidR="00F64D3F">
        <w:rPr>
          <w:rFonts w:ascii="Calibri" w:hAnsi="Calibri" w:cs="Calibri"/>
        </w:rPr>
        <w:t>.</w:t>
      </w:r>
    </w:p>
    <w:p w14:paraId="1FECF3BC" w14:textId="04FD65C6" w:rsidR="004A1653" w:rsidRPr="00FF7D24" w:rsidRDefault="00550245" w:rsidP="006131D6">
      <w:pPr>
        <w:pStyle w:val="ListParagraph"/>
        <w:numPr>
          <w:ilvl w:val="0"/>
          <w:numId w:val="15"/>
        </w:numPr>
        <w:spacing w:before="120" w:after="0" w:line="216" w:lineRule="auto"/>
        <w:ind w:left="709"/>
        <w:rPr>
          <w:rFonts w:ascii="Calibri" w:hAnsi="Calibri" w:cs="Calibri"/>
        </w:rPr>
      </w:pPr>
      <w:r w:rsidRPr="00FF7D24">
        <w:rPr>
          <w:rFonts w:ascii="Calibri" w:hAnsi="Calibri" w:cs="Calibri"/>
        </w:rPr>
        <w:t>The Regional EV Coordination</w:t>
      </w:r>
      <w:r w:rsidR="00EB462B" w:rsidRPr="00FF7D24">
        <w:rPr>
          <w:rFonts w:ascii="Calibri" w:hAnsi="Calibri" w:cs="Calibri"/>
        </w:rPr>
        <w:t xml:space="preserve"> Hub</w:t>
      </w:r>
      <w:r w:rsidR="00066DC5" w:rsidRPr="00FF7D24">
        <w:rPr>
          <w:rFonts w:ascii="Calibri" w:hAnsi="Calibri" w:cs="Calibri"/>
        </w:rPr>
        <w:t xml:space="preserve"> </w:t>
      </w:r>
      <w:r w:rsidR="006061FC" w:rsidRPr="00FF7D24">
        <w:rPr>
          <w:rFonts w:ascii="Calibri" w:hAnsi="Calibri" w:cs="Calibri"/>
        </w:rPr>
        <w:t>is</w:t>
      </w:r>
      <w:r w:rsidR="004A1653" w:rsidRPr="00FF7D24">
        <w:rPr>
          <w:rFonts w:ascii="Calibri" w:hAnsi="Calibri" w:cs="Calibri"/>
        </w:rPr>
        <w:t xml:space="preserve"> responsible</w:t>
      </w:r>
      <w:r w:rsidR="009261D2" w:rsidRPr="00FF7D24">
        <w:rPr>
          <w:rFonts w:ascii="Calibri" w:hAnsi="Calibri" w:cs="Calibri"/>
        </w:rPr>
        <w:t xml:space="preserve"> </w:t>
      </w:r>
      <w:r w:rsidR="00EB462B" w:rsidRPr="00FF7D24">
        <w:rPr>
          <w:rFonts w:ascii="Calibri" w:hAnsi="Calibri" w:cs="Calibri"/>
        </w:rPr>
        <w:t>for</w:t>
      </w:r>
      <w:r w:rsidR="004A1653" w:rsidRPr="00FF7D24">
        <w:rPr>
          <w:rFonts w:ascii="Calibri" w:hAnsi="Calibri" w:cs="Calibri"/>
        </w:rPr>
        <w:t>:</w:t>
      </w:r>
    </w:p>
    <w:p w14:paraId="604F3B4D" w14:textId="083620D2" w:rsidR="009261D2" w:rsidRDefault="009261D2" w:rsidP="006131D6">
      <w:pPr>
        <w:pStyle w:val="ListParagraph"/>
        <w:numPr>
          <w:ilvl w:val="1"/>
          <w:numId w:val="10"/>
        </w:numPr>
        <w:spacing w:after="120" w:line="216" w:lineRule="auto"/>
        <w:rPr>
          <w:rFonts w:ascii="Calibri" w:hAnsi="Calibri" w:cs="Calibri"/>
        </w:rPr>
      </w:pPr>
      <w:r>
        <w:rPr>
          <w:rFonts w:ascii="Calibri" w:hAnsi="Calibri" w:cs="Calibri"/>
        </w:rPr>
        <w:t>Implement</w:t>
      </w:r>
      <w:r w:rsidR="00EB462B">
        <w:rPr>
          <w:rFonts w:ascii="Calibri" w:hAnsi="Calibri" w:cs="Calibri"/>
        </w:rPr>
        <w:t>ing</w:t>
      </w:r>
      <w:r>
        <w:rPr>
          <w:rFonts w:ascii="Calibri" w:hAnsi="Calibri" w:cs="Calibri"/>
        </w:rPr>
        <w:t xml:space="preserve"> the day-to-day activities and oversee the annual work plans and budget of the EV </w:t>
      </w:r>
      <w:r w:rsidR="00EB462B">
        <w:rPr>
          <w:rFonts w:ascii="Calibri" w:hAnsi="Calibri" w:cs="Calibri"/>
        </w:rPr>
        <w:t>Coordination Hub</w:t>
      </w:r>
      <w:r>
        <w:rPr>
          <w:rFonts w:ascii="Calibri" w:hAnsi="Calibri" w:cs="Calibri"/>
        </w:rPr>
        <w:t>;</w:t>
      </w:r>
    </w:p>
    <w:p w14:paraId="5AA2E82A" w14:textId="2F03B250" w:rsidR="00FE5BDA" w:rsidRPr="00FE0F6C" w:rsidRDefault="009261D2" w:rsidP="006131D6">
      <w:pPr>
        <w:pStyle w:val="ListParagraph"/>
        <w:numPr>
          <w:ilvl w:val="1"/>
          <w:numId w:val="10"/>
        </w:numPr>
        <w:spacing w:after="120" w:line="216" w:lineRule="auto"/>
        <w:rPr>
          <w:rFonts w:ascii="Calibri" w:hAnsi="Calibri" w:cs="Calibri"/>
        </w:rPr>
      </w:pPr>
      <w:r>
        <w:rPr>
          <w:rFonts w:ascii="Calibri" w:hAnsi="Calibri" w:cs="Calibri"/>
        </w:rPr>
        <w:t>D</w:t>
      </w:r>
      <w:r w:rsidR="00FE5BDA" w:rsidRPr="00FE0F6C">
        <w:rPr>
          <w:rFonts w:ascii="Calibri" w:hAnsi="Calibri" w:cs="Calibri"/>
        </w:rPr>
        <w:t xml:space="preserve">eveloping and maintaining the Regional EV </w:t>
      </w:r>
      <w:r w:rsidR="00EB462B">
        <w:rPr>
          <w:rFonts w:ascii="Calibri" w:hAnsi="Calibri" w:cs="Calibri"/>
        </w:rPr>
        <w:t>Coordination Hub</w:t>
      </w:r>
      <w:r w:rsidR="00FE5BDA" w:rsidRPr="00FE0F6C">
        <w:rPr>
          <w:rFonts w:ascii="Calibri" w:hAnsi="Calibri" w:cs="Calibri"/>
        </w:rPr>
        <w:t xml:space="preserve"> business plan;</w:t>
      </w:r>
    </w:p>
    <w:p w14:paraId="36B18261" w14:textId="3BDC67A7" w:rsidR="00FE5BDA" w:rsidRPr="00FE0F6C" w:rsidRDefault="00FE5BDA" w:rsidP="006131D6">
      <w:pPr>
        <w:pStyle w:val="ListParagraph"/>
        <w:numPr>
          <w:ilvl w:val="1"/>
          <w:numId w:val="10"/>
        </w:numPr>
        <w:spacing w:after="120" w:line="216" w:lineRule="auto"/>
        <w:rPr>
          <w:rFonts w:ascii="Calibri" w:hAnsi="Calibri" w:cs="Calibri"/>
        </w:rPr>
      </w:pPr>
      <w:r w:rsidRPr="00FE0F6C">
        <w:rPr>
          <w:rFonts w:ascii="Calibri" w:hAnsi="Calibri" w:cs="Calibri"/>
        </w:rPr>
        <w:t xml:space="preserve">Directing and managing PICT </w:t>
      </w:r>
      <w:r w:rsidR="000438A1">
        <w:rPr>
          <w:rFonts w:ascii="Calibri" w:hAnsi="Calibri" w:cs="Calibri"/>
        </w:rPr>
        <w:t>EV National Contacts</w:t>
      </w:r>
      <w:r w:rsidRPr="00FE0F6C">
        <w:rPr>
          <w:rFonts w:ascii="Calibri" w:hAnsi="Calibri" w:cs="Calibri"/>
        </w:rPr>
        <w:t>;</w:t>
      </w:r>
    </w:p>
    <w:p w14:paraId="52E38506" w14:textId="2C8CDB64" w:rsidR="00FE5BDA" w:rsidRPr="00FE0F6C" w:rsidRDefault="00FE5BDA" w:rsidP="006131D6">
      <w:pPr>
        <w:pStyle w:val="ListParagraph"/>
        <w:numPr>
          <w:ilvl w:val="1"/>
          <w:numId w:val="10"/>
        </w:numPr>
        <w:spacing w:after="120" w:line="216" w:lineRule="auto"/>
        <w:rPr>
          <w:rFonts w:ascii="Calibri" w:hAnsi="Calibri" w:cs="Calibri"/>
        </w:rPr>
      </w:pPr>
      <w:r w:rsidRPr="00FE0F6C">
        <w:rPr>
          <w:rFonts w:ascii="Calibri" w:hAnsi="Calibri" w:cs="Calibri"/>
        </w:rPr>
        <w:t xml:space="preserve">Ensuring good communication between the </w:t>
      </w:r>
      <w:r w:rsidR="0058673A">
        <w:rPr>
          <w:rFonts w:ascii="Calibri" w:hAnsi="Calibri" w:cs="Calibri"/>
        </w:rPr>
        <w:t xml:space="preserve">Regional </w:t>
      </w:r>
      <w:r w:rsidRPr="00FE0F6C">
        <w:rPr>
          <w:rFonts w:ascii="Calibri" w:hAnsi="Calibri" w:cs="Calibri"/>
        </w:rPr>
        <w:t xml:space="preserve">EV </w:t>
      </w:r>
      <w:r w:rsidR="00EB462B">
        <w:rPr>
          <w:rFonts w:ascii="Calibri" w:hAnsi="Calibri" w:cs="Calibri"/>
        </w:rPr>
        <w:t>Coordination Hub</w:t>
      </w:r>
      <w:r w:rsidRPr="00FE0F6C">
        <w:rPr>
          <w:rFonts w:ascii="Calibri" w:hAnsi="Calibri" w:cs="Calibri"/>
        </w:rPr>
        <w:t xml:space="preserve"> and the various PICT </w:t>
      </w:r>
      <w:r w:rsidR="000438A1">
        <w:rPr>
          <w:rFonts w:ascii="Calibri" w:hAnsi="Calibri" w:cs="Calibri"/>
        </w:rPr>
        <w:t>EV National Contacts</w:t>
      </w:r>
      <w:r w:rsidRPr="00FE0F6C">
        <w:rPr>
          <w:rFonts w:ascii="Calibri" w:hAnsi="Calibri" w:cs="Calibri"/>
        </w:rPr>
        <w:t xml:space="preserve">, and </w:t>
      </w:r>
      <w:r w:rsidR="00E163D7">
        <w:rPr>
          <w:rFonts w:ascii="Calibri" w:hAnsi="Calibri" w:cs="Calibri"/>
        </w:rPr>
        <w:t>amongst</w:t>
      </w:r>
      <w:r w:rsidR="00E163D7" w:rsidRPr="00FE0F6C">
        <w:rPr>
          <w:rFonts w:ascii="Calibri" w:hAnsi="Calibri" w:cs="Calibri"/>
        </w:rPr>
        <w:t xml:space="preserve"> </w:t>
      </w:r>
      <w:r w:rsidRPr="00FE0F6C">
        <w:rPr>
          <w:rFonts w:ascii="Calibri" w:hAnsi="Calibri" w:cs="Calibri"/>
        </w:rPr>
        <w:t xml:space="preserve">the PICT </w:t>
      </w:r>
      <w:r w:rsidR="000438A1">
        <w:rPr>
          <w:rFonts w:ascii="Calibri" w:hAnsi="Calibri" w:cs="Calibri"/>
        </w:rPr>
        <w:t>EV National Contacts</w:t>
      </w:r>
      <w:r w:rsidRPr="00FE0F6C">
        <w:rPr>
          <w:rFonts w:ascii="Calibri" w:hAnsi="Calibri" w:cs="Calibri"/>
        </w:rPr>
        <w:t xml:space="preserve"> themselves</w:t>
      </w:r>
      <w:r w:rsidR="00D53636">
        <w:rPr>
          <w:rFonts w:ascii="Calibri" w:hAnsi="Calibri" w:cs="Calibri"/>
        </w:rPr>
        <w:t>;</w:t>
      </w:r>
    </w:p>
    <w:p w14:paraId="7D732373" w14:textId="7363327B" w:rsidR="00FE5BDA" w:rsidRPr="00FE0F6C" w:rsidRDefault="00FE5BDA" w:rsidP="006131D6">
      <w:pPr>
        <w:pStyle w:val="ListParagraph"/>
        <w:numPr>
          <w:ilvl w:val="1"/>
          <w:numId w:val="10"/>
        </w:numPr>
        <w:spacing w:after="120" w:line="216" w:lineRule="auto"/>
        <w:rPr>
          <w:rFonts w:ascii="Calibri" w:hAnsi="Calibri" w:cs="Calibri"/>
        </w:rPr>
      </w:pPr>
      <w:r w:rsidRPr="00FE0F6C">
        <w:rPr>
          <w:rFonts w:ascii="Calibri" w:hAnsi="Calibri" w:cs="Calibri"/>
        </w:rPr>
        <w:t xml:space="preserve">Providing information and resources to PICT </w:t>
      </w:r>
      <w:r w:rsidR="000438A1">
        <w:rPr>
          <w:rFonts w:ascii="Calibri" w:hAnsi="Calibri" w:cs="Calibri"/>
        </w:rPr>
        <w:t>EV National Contacts</w:t>
      </w:r>
      <w:r w:rsidRPr="00FE0F6C">
        <w:rPr>
          <w:rFonts w:ascii="Calibri" w:hAnsi="Calibri" w:cs="Calibri"/>
        </w:rPr>
        <w:t xml:space="preserve"> (and their respective offices);</w:t>
      </w:r>
    </w:p>
    <w:p w14:paraId="4523DEAD" w14:textId="3FC3305B" w:rsidR="00FE0668" w:rsidRPr="00FE0F6C" w:rsidRDefault="00FE5BDA" w:rsidP="006131D6">
      <w:pPr>
        <w:pStyle w:val="ListParagraph"/>
        <w:numPr>
          <w:ilvl w:val="1"/>
          <w:numId w:val="10"/>
        </w:numPr>
        <w:spacing w:after="120" w:line="216" w:lineRule="auto"/>
        <w:rPr>
          <w:rFonts w:ascii="Calibri" w:hAnsi="Calibri" w:cs="Calibri"/>
        </w:rPr>
      </w:pPr>
      <w:r w:rsidRPr="00FE0F6C">
        <w:rPr>
          <w:rFonts w:ascii="Calibri" w:hAnsi="Calibri" w:cs="Calibri"/>
        </w:rPr>
        <w:t>Centrali</w:t>
      </w:r>
      <w:r w:rsidR="00CA59A2">
        <w:rPr>
          <w:rFonts w:ascii="Calibri" w:hAnsi="Calibri" w:cs="Calibri"/>
        </w:rPr>
        <w:t>s</w:t>
      </w:r>
      <w:r w:rsidRPr="00FE0F6C">
        <w:rPr>
          <w:rFonts w:ascii="Calibri" w:hAnsi="Calibri" w:cs="Calibri"/>
        </w:rPr>
        <w:t xml:space="preserve">ing the </w:t>
      </w:r>
      <w:r w:rsidR="00FE0668" w:rsidRPr="00FE0F6C">
        <w:rPr>
          <w:rFonts w:ascii="Calibri" w:hAnsi="Calibri" w:cs="Calibri"/>
        </w:rPr>
        <w:t xml:space="preserve">data received from monitoring and evaluation carried out by PICT </w:t>
      </w:r>
      <w:r w:rsidR="000438A1">
        <w:rPr>
          <w:rFonts w:ascii="Calibri" w:hAnsi="Calibri" w:cs="Calibri"/>
        </w:rPr>
        <w:t>EV National Contacts</w:t>
      </w:r>
      <w:r w:rsidR="00FE0668" w:rsidRPr="00FE0F6C">
        <w:rPr>
          <w:rFonts w:ascii="Calibri" w:hAnsi="Calibri" w:cs="Calibri"/>
        </w:rPr>
        <w:t>, their offices, or others involved in E</w:t>
      </w:r>
      <w:r w:rsidR="00E163D7">
        <w:rPr>
          <w:rFonts w:ascii="Calibri" w:hAnsi="Calibri" w:cs="Calibri"/>
        </w:rPr>
        <w:t>V</w:t>
      </w:r>
      <w:r w:rsidR="00FE0668" w:rsidRPr="00FE0F6C">
        <w:rPr>
          <w:rFonts w:ascii="Calibri" w:hAnsi="Calibri" w:cs="Calibri"/>
        </w:rPr>
        <w:t xml:space="preserve"> </w:t>
      </w:r>
      <w:r w:rsidR="00CA59A2">
        <w:rPr>
          <w:rFonts w:ascii="Calibri" w:hAnsi="Calibri" w:cs="Calibri"/>
        </w:rPr>
        <w:t>activities</w:t>
      </w:r>
      <w:r w:rsidR="00CA59A2" w:rsidRPr="00FE0F6C">
        <w:rPr>
          <w:rFonts w:ascii="Calibri" w:hAnsi="Calibri" w:cs="Calibri"/>
        </w:rPr>
        <w:t xml:space="preserve"> </w:t>
      </w:r>
      <w:r w:rsidR="00FE0668" w:rsidRPr="00FE0F6C">
        <w:rPr>
          <w:rFonts w:ascii="Calibri" w:hAnsi="Calibri" w:cs="Calibri"/>
        </w:rPr>
        <w:t>within the region</w:t>
      </w:r>
      <w:r w:rsidR="00D53636">
        <w:rPr>
          <w:rFonts w:ascii="Calibri" w:hAnsi="Calibri" w:cs="Calibri"/>
        </w:rPr>
        <w:t>;</w:t>
      </w:r>
    </w:p>
    <w:p w14:paraId="0C225BE8" w14:textId="3E22DAD7" w:rsidR="00FE0668" w:rsidRPr="00FE0F6C" w:rsidRDefault="00FE0668" w:rsidP="006131D6">
      <w:pPr>
        <w:pStyle w:val="ListParagraph"/>
        <w:numPr>
          <w:ilvl w:val="1"/>
          <w:numId w:val="10"/>
        </w:numPr>
        <w:spacing w:after="120" w:line="216" w:lineRule="auto"/>
        <w:rPr>
          <w:rFonts w:ascii="Calibri" w:hAnsi="Calibri" w:cs="Calibri"/>
        </w:rPr>
      </w:pPr>
      <w:r w:rsidRPr="00FE0F6C">
        <w:rPr>
          <w:rFonts w:ascii="Calibri" w:hAnsi="Calibri" w:cs="Calibri"/>
        </w:rPr>
        <w:t xml:space="preserve">Maintaining </w:t>
      </w:r>
      <w:r w:rsidR="00E163D7">
        <w:rPr>
          <w:rFonts w:ascii="Calibri" w:hAnsi="Calibri" w:cs="Calibri"/>
        </w:rPr>
        <w:t xml:space="preserve">a </w:t>
      </w:r>
      <w:r w:rsidRPr="00FE0F6C">
        <w:rPr>
          <w:rFonts w:ascii="Calibri" w:hAnsi="Calibri" w:cs="Calibri"/>
        </w:rPr>
        <w:t>watch on the global EV scene</w:t>
      </w:r>
      <w:r w:rsidR="00E163D7">
        <w:rPr>
          <w:rFonts w:ascii="Calibri" w:hAnsi="Calibri" w:cs="Calibri"/>
        </w:rPr>
        <w:t>,</w:t>
      </w:r>
      <w:r w:rsidRPr="00FE0F6C">
        <w:rPr>
          <w:rFonts w:ascii="Calibri" w:hAnsi="Calibri" w:cs="Calibri"/>
        </w:rPr>
        <w:t xml:space="preserve"> including through international partnerships and links, and through Regional Subject Experts</w:t>
      </w:r>
      <w:r w:rsidR="00D53636">
        <w:rPr>
          <w:rFonts w:ascii="Calibri" w:hAnsi="Calibri" w:cs="Calibri"/>
        </w:rPr>
        <w:t>;</w:t>
      </w:r>
    </w:p>
    <w:p w14:paraId="1D2C8A95" w14:textId="5A324465" w:rsidR="00FE0668" w:rsidRPr="00FE0F6C" w:rsidRDefault="00FE0668" w:rsidP="006131D6">
      <w:pPr>
        <w:pStyle w:val="ListParagraph"/>
        <w:numPr>
          <w:ilvl w:val="1"/>
          <w:numId w:val="10"/>
        </w:numPr>
        <w:spacing w:after="120" w:line="216" w:lineRule="auto"/>
        <w:rPr>
          <w:rFonts w:ascii="Calibri" w:hAnsi="Calibri" w:cs="Calibri"/>
        </w:rPr>
      </w:pPr>
      <w:r w:rsidRPr="00FE0F6C">
        <w:rPr>
          <w:rFonts w:ascii="Calibri" w:hAnsi="Calibri" w:cs="Calibri"/>
        </w:rPr>
        <w:t>Providing quality control over information and programs</w:t>
      </w:r>
      <w:r w:rsidR="00D53636">
        <w:rPr>
          <w:rFonts w:ascii="Calibri" w:hAnsi="Calibri" w:cs="Calibri"/>
        </w:rPr>
        <w:t>;</w:t>
      </w:r>
    </w:p>
    <w:p w14:paraId="50CD2B8D" w14:textId="4BB9317B" w:rsidR="00FE0668" w:rsidRPr="00FE0F6C" w:rsidRDefault="00FE0668" w:rsidP="006131D6">
      <w:pPr>
        <w:pStyle w:val="ListParagraph"/>
        <w:numPr>
          <w:ilvl w:val="1"/>
          <w:numId w:val="10"/>
        </w:numPr>
        <w:spacing w:after="120" w:line="216" w:lineRule="auto"/>
        <w:rPr>
          <w:rFonts w:ascii="Calibri" w:hAnsi="Calibri" w:cs="Calibri"/>
        </w:rPr>
      </w:pPr>
      <w:r w:rsidRPr="00FE0F6C">
        <w:rPr>
          <w:rFonts w:ascii="Calibri" w:hAnsi="Calibri" w:cs="Calibri"/>
        </w:rPr>
        <w:t xml:space="preserve">Disseminating information to PICT </w:t>
      </w:r>
      <w:r w:rsidR="000438A1">
        <w:rPr>
          <w:rFonts w:ascii="Calibri" w:hAnsi="Calibri" w:cs="Calibri"/>
        </w:rPr>
        <w:t>EV National Contacts</w:t>
      </w:r>
      <w:r w:rsidRPr="00FE0F6C">
        <w:rPr>
          <w:rFonts w:ascii="Calibri" w:hAnsi="Calibri" w:cs="Calibri"/>
        </w:rPr>
        <w:t xml:space="preserve">, Regional Subject Experts, </w:t>
      </w:r>
      <w:r w:rsidR="002A38C7">
        <w:rPr>
          <w:rFonts w:ascii="Calibri" w:hAnsi="Calibri" w:cs="Calibri"/>
        </w:rPr>
        <w:t xml:space="preserve">other regional stakeholders, </w:t>
      </w:r>
      <w:r w:rsidRPr="00FE0F6C">
        <w:rPr>
          <w:rFonts w:ascii="Calibri" w:hAnsi="Calibri" w:cs="Calibri"/>
        </w:rPr>
        <w:t xml:space="preserve">and interested </w:t>
      </w:r>
      <w:r w:rsidR="002A38C7">
        <w:rPr>
          <w:rFonts w:ascii="Calibri" w:hAnsi="Calibri" w:cs="Calibri"/>
        </w:rPr>
        <w:t>i</w:t>
      </w:r>
      <w:r w:rsidRPr="00FE0F6C">
        <w:rPr>
          <w:rFonts w:ascii="Calibri" w:hAnsi="Calibri" w:cs="Calibri"/>
        </w:rPr>
        <w:t xml:space="preserve">nternational </w:t>
      </w:r>
      <w:r w:rsidR="002A38C7">
        <w:rPr>
          <w:rFonts w:ascii="Calibri" w:hAnsi="Calibri" w:cs="Calibri"/>
        </w:rPr>
        <w:t>p</w:t>
      </w:r>
      <w:r w:rsidRPr="00FE0F6C">
        <w:rPr>
          <w:rFonts w:ascii="Calibri" w:hAnsi="Calibri" w:cs="Calibri"/>
        </w:rPr>
        <w:t>artners</w:t>
      </w:r>
      <w:r w:rsidR="00D53636">
        <w:rPr>
          <w:rFonts w:ascii="Calibri" w:hAnsi="Calibri" w:cs="Calibri"/>
        </w:rPr>
        <w:t>;</w:t>
      </w:r>
    </w:p>
    <w:p w14:paraId="036D67BC" w14:textId="1AAC257C" w:rsidR="009261D2" w:rsidRPr="00FF7D24" w:rsidRDefault="005C5403" w:rsidP="006131D6">
      <w:pPr>
        <w:pStyle w:val="ListParagraph"/>
        <w:numPr>
          <w:ilvl w:val="1"/>
          <w:numId w:val="10"/>
        </w:numPr>
        <w:spacing w:after="120" w:line="216" w:lineRule="auto"/>
        <w:rPr>
          <w:rFonts w:ascii="Calibri" w:hAnsi="Calibri" w:cs="Calibri"/>
        </w:rPr>
      </w:pPr>
      <w:r w:rsidRPr="00FE0F6C">
        <w:rPr>
          <w:rFonts w:ascii="Calibri" w:hAnsi="Calibri" w:cs="Calibri"/>
        </w:rPr>
        <w:t xml:space="preserve">Working with donor agencies (in a transparent </w:t>
      </w:r>
      <w:r w:rsidR="0058673A">
        <w:rPr>
          <w:rFonts w:ascii="Calibri" w:hAnsi="Calibri" w:cs="Calibri"/>
        </w:rPr>
        <w:t xml:space="preserve">and coordinated </w:t>
      </w:r>
      <w:r w:rsidRPr="00FE0F6C">
        <w:rPr>
          <w:rFonts w:ascii="Calibri" w:hAnsi="Calibri" w:cs="Calibri"/>
        </w:rPr>
        <w:t xml:space="preserve">manner across the donor agencies). </w:t>
      </w:r>
    </w:p>
    <w:p w14:paraId="6569B980" w14:textId="274368DE" w:rsidR="005B15D4" w:rsidRPr="00FF7D24" w:rsidRDefault="005B15D4" w:rsidP="00FF7D24">
      <w:pPr>
        <w:spacing w:after="0" w:line="216" w:lineRule="auto"/>
        <w:rPr>
          <w:rFonts w:ascii="Calibri" w:hAnsi="Calibri" w:cs="Calibri"/>
        </w:rPr>
      </w:pPr>
      <w:r w:rsidRPr="00FF7D24">
        <w:rPr>
          <w:rFonts w:ascii="Calibri" w:hAnsi="Calibri" w:cs="Calibri"/>
          <w:b/>
          <w:bCs/>
        </w:rPr>
        <w:t>The Regional EV Working Group</w:t>
      </w:r>
      <w:r>
        <w:rPr>
          <w:rFonts w:ascii="Calibri" w:hAnsi="Calibri" w:cs="Calibri"/>
          <w:b/>
          <w:bCs/>
        </w:rPr>
        <w:t xml:space="preserve"> </w:t>
      </w:r>
      <w:r w:rsidRPr="00FF7D24">
        <w:rPr>
          <w:rFonts w:ascii="Calibri" w:hAnsi="Calibri" w:cs="Calibri"/>
        </w:rPr>
        <w:t>– it is proposed that:</w:t>
      </w:r>
    </w:p>
    <w:p w14:paraId="173148E7" w14:textId="104B1269" w:rsidR="009261D2" w:rsidRDefault="009261D2" w:rsidP="006131D6">
      <w:pPr>
        <w:pStyle w:val="ListParagraph"/>
        <w:numPr>
          <w:ilvl w:val="0"/>
          <w:numId w:val="10"/>
        </w:numPr>
        <w:spacing w:after="0" w:line="216" w:lineRule="auto"/>
        <w:rPr>
          <w:rFonts w:ascii="Calibri" w:hAnsi="Calibri" w:cs="Calibri"/>
        </w:rPr>
      </w:pPr>
      <w:r w:rsidRPr="00FF7D24">
        <w:rPr>
          <w:rFonts w:ascii="Calibri" w:hAnsi="Calibri" w:cs="Calibri"/>
        </w:rPr>
        <w:t xml:space="preserve">The Regional EV </w:t>
      </w:r>
      <w:r w:rsidR="00D53636" w:rsidRPr="00FF7D24">
        <w:rPr>
          <w:rFonts w:ascii="Calibri" w:hAnsi="Calibri" w:cs="Calibri"/>
        </w:rPr>
        <w:t>Working</w:t>
      </w:r>
      <w:r w:rsidRPr="00FF7D24">
        <w:rPr>
          <w:rFonts w:ascii="Calibri" w:hAnsi="Calibri" w:cs="Calibri"/>
        </w:rPr>
        <w:t xml:space="preserve"> Group</w:t>
      </w:r>
      <w:r>
        <w:rPr>
          <w:rFonts w:ascii="Calibri" w:hAnsi="Calibri" w:cs="Calibri"/>
          <w:b/>
          <w:bCs/>
        </w:rPr>
        <w:t xml:space="preserve"> </w:t>
      </w:r>
      <w:r w:rsidRPr="00FF7D24">
        <w:rPr>
          <w:rFonts w:ascii="Calibri" w:hAnsi="Calibri" w:cs="Calibri"/>
          <w:bCs/>
        </w:rPr>
        <w:t xml:space="preserve">is responsible </w:t>
      </w:r>
      <w:r w:rsidR="00D53636">
        <w:rPr>
          <w:rFonts w:ascii="Calibri" w:hAnsi="Calibri" w:cs="Calibri"/>
          <w:bCs/>
        </w:rPr>
        <w:t>for</w:t>
      </w:r>
      <w:r w:rsidRPr="00C22026">
        <w:rPr>
          <w:rFonts w:ascii="Calibri" w:hAnsi="Calibri" w:cs="Calibri"/>
        </w:rPr>
        <w:t>:</w:t>
      </w:r>
    </w:p>
    <w:p w14:paraId="58C682D5" w14:textId="2B0DFCB2" w:rsidR="009261D2" w:rsidRPr="00C22026" w:rsidRDefault="00785C62" w:rsidP="006131D6">
      <w:pPr>
        <w:pStyle w:val="ListParagraph"/>
        <w:numPr>
          <w:ilvl w:val="1"/>
          <w:numId w:val="10"/>
        </w:numPr>
        <w:spacing w:after="0" w:line="216" w:lineRule="auto"/>
        <w:rPr>
          <w:rFonts w:ascii="Calibri" w:hAnsi="Calibri" w:cs="Calibri"/>
        </w:rPr>
      </w:pPr>
      <w:r>
        <w:rPr>
          <w:rFonts w:ascii="Calibri" w:hAnsi="Calibri" w:cs="Calibri"/>
          <w:bCs/>
        </w:rPr>
        <w:t>O</w:t>
      </w:r>
      <w:r w:rsidR="009261D2">
        <w:rPr>
          <w:rFonts w:ascii="Calibri" w:hAnsi="Calibri" w:cs="Calibri"/>
          <w:bCs/>
        </w:rPr>
        <w:t>versee</w:t>
      </w:r>
      <w:r w:rsidR="00D53636">
        <w:rPr>
          <w:rFonts w:ascii="Calibri" w:hAnsi="Calibri" w:cs="Calibri"/>
          <w:bCs/>
        </w:rPr>
        <w:t>ing</w:t>
      </w:r>
      <w:r w:rsidR="009261D2">
        <w:rPr>
          <w:rFonts w:ascii="Calibri" w:hAnsi="Calibri" w:cs="Calibri"/>
          <w:bCs/>
        </w:rPr>
        <w:t xml:space="preserve"> the performance of the </w:t>
      </w:r>
      <w:r w:rsidR="00D53636">
        <w:rPr>
          <w:rFonts w:ascii="Calibri" w:hAnsi="Calibri" w:cs="Calibri"/>
          <w:bCs/>
        </w:rPr>
        <w:t>hub</w:t>
      </w:r>
      <w:r w:rsidR="009261D2">
        <w:rPr>
          <w:rFonts w:ascii="Calibri" w:hAnsi="Calibri" w:cs="Calibri"/>
          <w:bCs/>
        </w:rPr>
        <w:t xml:space="preserve"> and progress with regard to the achievement of the program objectives;</w:t>
      </w:r>
    </w:p>
    <w:p w14:paraId="52961911" w14:textId="52A3F521" w:rsidR="00785C62" w:rsidRPr="00785C62" w:rsidRDefault="00785C62" w:rsidP="006131D6">
      <w:pPr>
        <w:pStyle w:val="ListParagraph"/>
        <w:numPr>
          <w:ilvl w:val="1"/>
          <w:numId w:val="10"/>
        </w:numPr>
        <w:spacing w:after="0" w:line="216" w:lineRule="auto"/>
        <w:rPr>
          <w:rFonts w:ascii="Calibri" w:hAnsi="Calibri" w:cs="Calibri"/>
        </w:rPr>
      </w:pPr>
      <w:r>
        <w:rPr>
          <w:rFonts w:ascii="Calibri" w:hAnsi="Calibri" w:cs="Calibri"/>
          <w:bCs/>
        </w:rPr>
        <w:t>Provid</w:t>
      </w:r>
      <w:r w:rsidR="004A08BA">
        <w:rPr>
          <w:rFonts w:ascii="Calibri" w:hAnsi="Calibri" w:cs="Calibri"/>
          <w:bCs/>
        </w:rPr>
        <w:t>ing</w:t>
      </w:r>
      <w:r>
        <w:rPr>
          <w:rFonts w:ascii="Calibri" w:hAnsi="Calibri" w:cs="Calibri"/>
          <w:bCs/>
        </w:rPr>
        <w:t xml:space="preserve"> supervision;</w:t>
      </w:r>
    </w:p>
    <w:p w14:paraId="634C8C65" w14:textId="76FFE33A" w:rsidR="00785C62" w:rsidRPr="00785C62" w:rsidRDefault="00785C62" w:rsidP="006131D6">
      <w:pPr>
        <w:pStyle w:val="ListParagraph"/>
        <w:numPr>
          <w:ilvl w:val="1"/>
          <w:numId w:val="10"/>
        </w:numPr>
        <w:spacing w:after="0" w:line="216" w:lineRule="auto"/>
        <w:rPr>
          <w:rFonts w:ascii="Calibri" w:hAnsi="Calibri" w:cs="Calibri"/>
        </w:rPr>
      </w:pPr>
      <w:r>
        <w:rPr>
          <w:rFonts w:ascii="Calibri" w:hAnsi="Calibri" w:cs="Calibri"/>
          <w:bCs/>
        </w:rPr>
        <w:t>Avoid</w:t>
      </w:r>
      <w:r w:rsidR="004A08BA">
        <w:rPr>
          <w:rFonts w:ascii="Calibri" w:hAnsi="Calibri" w:cs="Calibri"/>
          <w:bCs/>
        </w:rPr>
        <w:t>ing</w:t>
      </w:r>
      <w:r>
        <w:rPr>
          <w:rFonts w:ascii="Calibri" w:hAnsi="Calibri" w:cs="Calibri"/>
          <w:bCs/>
        </w:rPr>
        <w:t xml:space="preserve"> duplication of efforts of international development partners</w:t>
      </w:r>
      <w:r w:rsidR="00D53636">
        <w:rPr>
          <w:rFonts w:ascii="Calibri" w:hAnsi="Calibri" w:cs="Calibri"/>
          <w:bCs/>
        </w:rPr>
        <w:t>;</w:t>
      </w:r>
      <w:r>
        <w:rPr>
          <w:rFonts w:ascii="Calibri" w:hAnsi="Calibri" w:cs="Calibri"/>
          <w:bCs/>
        </w:rPr>
        <w:t xml:space="preserve"> </w:t>
      </w:r>
    </w:p>
    <w:p w14:paraId="0AB2FC20" w14:textId="51BD2C05" w:rsidR="009261D2" w:rsidRPr="00C22026" w:rsidRDefault="00785C62" w:rsidP="006131D6">
      <w:pPr>
        <w:pStyle w:val="ListParagraph"/>
        <w:numPr>
          <w:ilvl w:val="1"/>
          <w:numId w:val="10"/>
        </w:numPr>
        <w:spacing w:after="0" w:line="216" w:lineRule="auto"/>
        <w:rPr>
          <w:rFonts w:ascii="Calibri" w:hAnsi="Calibri" w:cs="Calibri"/>
        </w:rPr>
      </w:pPr>
      <w:r>
        <w:rPr>
          <w:rFonts w:ascii="Calibri" w:hAnsi="Calibri" w:cs="Calibri"/>
          <w:bCs/>
        </w:rPr>
        <w:t>R</w:t>
      </w:r>
      <w:r w:rsidR="009261D2">
        <w:rPr>
          <w:rFonts w:ascii="Calibri" w:hAnsi="Calibri" w:cs="Calibri"/>
          <w:bCs/>
        </w:rPr>
        <w:t>eview</w:t>
      </w:r>
      <w:r w:rsidR="004A08BA">
        <w:rPr>
          <w:rFonts w:ascii="Calibri" w:hAnsi="Calibri" w:cs="Calibri"/>
          <w:bCs/>
        </w:rPr>
        <w:t>ing</w:t>
      </w:r>
      <w:r w:rsidR="009261D2">
        <w:rPr>
          <w:rFonts w:ascii="Calibri" w:hAnsi="Calibri" w:cs="Calibri"/>
          <w:bCs/>
        </w:rPr>
        <w:t xml:space="preserve"> the annual work</w:t>
      </w:r>
      <w:r w:rsidR="00D53636">
        <w:rPr>
          <w:rFonts w:ascii="Calibri" w:hAnsi="Calibri" w:cs="Calibri"/>
          <w:bCs/>
        </w:rPr>
        <w:t>/business</w:t>
      </w:r>
      <w:r w:rsidR="009261D2">
        <w:rPr>
          <w:rFonts w:ascii="Calibri" w:hAnsi="Calibri" w:cs="Calibri"/>
          <w:bCs/>
        </w:rPr>
        <w:t xml:space="preserve"> plans and progress reports of the </w:t>
      </w:r>
      <w:r w:rsidR="00D53636">
        <w:rPr>
          <w:rFonts w:ascii="Calibri" w:hAnsi="Calibri" w:cs="Calibri"/>
          <w:bCs/>
        </w:rPr>
        <w:t>hub;</w:t>
      </w:r>
    </w:p>
    <w:p w14:paraId="0F7F0DA7" w14:textId="1E12683E" w:rsidR="009261D2" w:rsidRPr="00C22026" w:rsidRDefault="009261D2" w:rsidP="006131D6">
      <w:pPr>
        <w:pStyle w:val="ListParagraph"/>
        <w:numPr>
          <w:ilvl w:val="1"/>
          <w:numId w:val="10"/>
        </w:numPr>
        <w:spacing w:after="0" w:line="216" w:lineRule="auto"/>
        <w:rPr>
          <w:rFonts w:ascii="Calibri" w:hAnsi="Calibri" w:cs="Calibri"/>
        </w:rPr>
      </w:pPr>
      <w:r>
        <w:rPr>
          <w:rFonts w:ascii="Calibri" w:hAnsi="Calibri" w:cs="Calibri"/>
          <w:bCs/>
        </w:rPr>
        <w:t>Suggest</w:t>
      </w:r>
      <w:r w:rsidR="004A08BA">
        <w:rPr>
          <w:rFonts w:ascii="Calibri" w:hAnsi="Calibri" w:cs="Calibri"/>
          <w:bCs/>
        </w:rPr>
        <w:t>ing</w:t>
      </w:r>
      <w:r>
        <w:rPr>
          <w:rFonts w:ascii="Calibri" w:hAnsi="Calibri" w:cs="Calibri"/>
          <w:bCs/>
        </w:rPr>
        <w:t xml:space="preserve"> concrete activities and initiatives to be implemented by </w:t>
      </w:r>
      <w:r w:rsidR="00785C62">
        <w:rPr>
          <w:rFonts w:ascii="Calibri" w:hAnsi="Calibri" w:cs="Calibri"/>
          <w:bCs/>
        </w:rPr>
        <w:t xml:space="preserve">the </w:t>
      </w:r>
      <w:r w:rsidR="00D53636">
        <w:rPr>
          <w:rFonts w:ascii="Calibri" w:hAnsi="Calibri" w:cs="Calibri"/>
          <w:bCs/>
        </w:rPr>
        <w:t>hub</w:t>
      </w:r>
      <w:r w:rsidR="00785C62">
        <w:rPr>
          <w:rFonts w:ascii="Calibri" w:hAnsi="Calibri" w:cs="Calibri"/>
          <w:bCs/>
        </w:rPr>
        <w:t xml:space="preserve"> or individual partners of the </w:t>
      </w:r>
      <w:r>
        <w:rPr>
          <w:rFonts w:ascii="Calibri" w:hAnsi="Calibri" w:cs="Calibri"/>
          <w:bCs/>
        </w:rPr>
        <w:t xml:space="preserve">EV </w:t>
      </w:r>
      <w:r w:rsidR="00D53636">
        <w:rPr>
          <w:rFonts w:ascii="Calibri" w:hAnsi="Calibri" w:cs="Calibri"/>
          <w:bCs/>
        </w:rPr>
        <w:t>Working Group;</w:t>
      </w:r>
    </w:p>
    <w:p w14:paraId="183B71B9" w14:textId="356A13C5" w:rsidR="00EF2505" w:rsidRPr="00C22026" w:rsidRDefault="00EF2505" w:rsidP="006131D6">
      <w:pPr>
        <w:pStyle w:val="ListParagraph"/>
        <w:numPr>
          <w:ilvl w:val="1"/>
          <w:numId w:val="10"/>
        </w:numPr>
        <w:spacing w:after="0" w:line="216" w:lineRule="auto"/>
        <w:rPr>
          <w:rFonts w:ascii="Calibri" w:hAnsi="Calibri" w:cs="Calibri"/>
        </w:rPr>
      </w:pPr>
      <w:r>
        <w:rPr>
          <w:rFonts w:ascii="Calibri" w:hAnsi="Calibri" w:cs="Calibri"/>
          <w:bCs/>
        </w:rPr>
        <w:t>Select</w:t>
      </w:r>
      <w:r w:rsidR="004A08BA">
        <w:rPr>
          <w:rFonts w:ascii="Calibri" w:hAnsi="Calibri" w:cs="Calibri"/>
          <w:bCs/>
        </w:rPr>
        <w:t>ing</w:t>
      </w:r>
      <w:r>
        <w:rPr>
          <w:rFonts w:ascii="Calibri" w:hAnsi="Calibri" w:cs="Calibri"/>
          <w:bCs/>
        </w:rPr>
        <w:t xml:space="preserve"> and appoint external evaluators</w:t>
      </w:r>
      <w:r w:rsidR="00D53636">
        <w:rPr>
          <w:rFonts w:ascii="Calibri" w:hAnsi="Calibri" w:cs="Calibri"/>
          <w:bCs/>
        </w:rPr>
        <w:t>;</w:t>
      </w:r>
      <w:r>
        <w:rPr>
          <w:rFonts w:ascii="Calibri" w:hAnsi="Calibri" w:cs="Calibri"/>
          <w:bCs/>
        </w:rPr>
        <w:t xml:space="preserve"> </w:t>
      </w:r>
    </w:p>
    <w:p w14:paraId="32E56A01" w14:textId="433B8E80" w:rsidR="009261D2" w:rsidRPr="00FF7D24" w:rsidRDefault="009261D2" w:rsidP="006131D6">
      <w:pPr>
        <w:pStyle w:val="ListParagraph"/>
        <w:numPr>
          <w:ilvl w:val="1"/>
          <w:numId w:val="10"/>
        </w:numPr>
        <w:spacing w:after="0" w:line="216" w:lineRule="auto"/>
        <w:rPr>
          <w:rFonts w:ascii="Calibri" w:hAnsi="Calibri" w:cs="Calibri"/>
          <w:b/>
          <w:bCs/>
        </w:rPr>
      </w:pPr>
      <w:r>
        <w:rPr>
          <w:rFonts w:ascii="Calibri" w:hAnsi="Calibri" w:cs="Calibri"/>
          <w:bCs/>
        </w:rPr>
        <w:t>Provid</w:t>
      </w:r>
      <w:r w:rsidR="004A08BA">
        <w:rPr>
          <w:rFonts w:ascii="Calibri" w:hAnsi="Calibri" w:cs="Calibri"/>
          <w:bCs/>
        </w:rPr>
        <w:t>ing</w:t>
      </w:r>
      <w:r>
        <w:rPr>
          <w:rFonts w:ascii="Calibri" w:hAnsi="Calibri" w:cs="Calibri"/>
          <w:bCs/>
        </w:rPr>
        <w:t xml:space="preserve"> updates to the PEAG and the Ministers of Energy and Transport</w:t>
      </w:r>
      <w:r w:rsidR="004A08BA">
        <w:rPr>
          <w:rFonts w:ascii="Calibri" w:hAnsi="Calibri" w:cs="Calibri"/>
          <w:bCs/>
        </w:rPr>
        <w:t xml:space="preserve"> (coordinated through the Central Policy and Administration Desk of the Regional Coordination Hub)</w:t>
      </w:r>
      <w:r w:rsidR="00D53636">
        <w:rPr>
          <w:rFonts w:ascii="Calibri" w:hAnsi="Calibri" w:cs="Calibri"/>
          <w:bCs/>
        </w:rPr>
        <w:t>.</w:t>
      </w:r>
    </w:p>
    <w:p w14:paraId="26206F79" w14:textId="5ED6A1B6" w:rsidR="0058673A" w:rsidRPr="00B02A4A" w:rsidRDefault="0058673A" w:rsidP="00FF7D24">
      <w:pPr>
        <w:spacing w:before="120" w:after="0" w:line="216" w:lineRule="auto"/>
        <w:rPr>
          <w:rFonts w:ascii="Calibri" w:hAnsi="Calibri" w:cs="Calibri"/>
        </w:rPr>
      </w:pPr>
      <w:r w:rsidRPr="00B02A4A">
        <w:rPr>
          <w:rFonts w:ascii="Calibri" w:hAnsi="Calibri" w:cs="Calibri"/>
          <w:b/>
          <w:bCs/>
        </w:rPr>
        <w:t xml:space="preserve">PICT </w:t>
      </w:r>
      <w:r w:rsidR="000438A1">
        <w:rPr>
          <w:rFonts w:ascii="Calibri" w:hAnsi="Calibri" w:cs="Calibri"/>
          <w:b/>
          <w:bCs/>
        </w:rPr>
        <w:t>EV National Contacts</w:t>
      </w:r>
      <w:r w:rsidR="00550245">
        <w:rPr>
          <w:rFonts w:ascii="Calibri" w:hAnsi="Calibri" w:cs="Calibri"/>
          <w:b/>
          <w:bCs/>
        </w:rPr>
        <w:t xml:space="preserve"> </w:t>
      </w:r>
      <w:r w:rsidR="00550245" w:rsidRPr="00B02A4A">
        <w:rPr>
          <w:rFonts w:ascii="Calibri" w:hAnsi="Calibri" w:cs="Calibri"/>
        </w:rPr>
        <w:t>– it is proposed</w:t>
      </w:r>
      <w:r w:rsidR="00550245">
        <w:rPr>
          <w:rFonts w:ascii="Calibri" w:hAnsi="Calibri" w:cs="Calibri"/>
        </w:rPr>
        <w:t xml:space="preserve"> that</w:t>
      </w:r>
      <w:r w:rsidR="00550245" w:rsidRPr="00B02A4A">
        <w:rPr>
          <w:rFonts w:ascii="Calibri" w:hAnsi="Calibri" w:cs="Calibri"/>
        </w:rPr>
        <w:t>:</w:t>
      </w:r>
    </w:p>
    <w:p w14:paraId="456136E5" w14:textId="6E46ADC5" w:rsidR="006C1E88" w:rsidRDefault="00550245" w:rsidP="006131D6">
      <w:pPr>
        <w:pStyle w:val="ListParagraph"/>
        <w:numPr>
          <w:ilvl w:val="0"/>
          <w:numId w:val="10"/>
        </w:numPr>
        <w:spacing w:after="120" w:line="216" w:lineRule="auto"/>
        <w:rPr>
          <w:rFonts w:ascii="Calibri" w:hAnsi="Calibri" w:cs="Calibri"/>
        </w:rPr>
      </w:pPr>
      <w:r>
        <w:rPr>
          <w:rFonts w:ascii="Calibri" w:hAnsi="Calibri" w:cs="Calibri"/>
        </w:rPr>
        <w:t>The</w:t>
      </w:r>
      <w:r w:rsidR="0058673A">
        <w:rPr>
          <w:rFonts w:ascii="Calibri" w:hAnsi="Calibri" w:cs="Calibri"/>
        </w:rPr>
        <w:t xml:space="preserve"> </w:t>
      </w:r>
      <w:r w:rsidR="00FE0668" w:rsidRPr="00FE0F6C">
        <w:rPr>
          <w:rFonts w:ascii="Calibri" w:hAnsi="Calibri" w:cs="Calibri"/>
        </w:rPr>
        <w:t xml:space="preserve">PICT </w:t>
      </w:r>
      <w:r w:rsidR="000438A1">
        <w:rPr>
          <w:rFonts w:ascii="Calibri" w:hAnsi="Calibri" w:cs="Calibri"/>
        </w:rPr>
        <w:t>EV National Contacts</w:t>
      </w:r>
      <w:r w:rsidR="00FE0668" w:rsidRPr="00FE0F6C">
        <w:rPr>
          <w:rFonts w:ascii="Calibri" w:hAnsi="Calibri" w:cs="Calibri"/>
        </w:rPr>
        <w:t xml:space="preserve"> </w:t>
      </w:r>
      <w:r w:rsidR="0058673A">
        <w:rPr>
          <w:rFonts w:ascii="Calibri" w:hAnsi="Calibri" w:cs="Calibri"/>
        </w:rPr>
        <w:t xml:space="preserve">are </w:t>
      </w:r>
      <w:r w:rsidR="00FE0668" w:rsidRPr="00FE0F6C">
        <w:rPr>
          <w:rFonts w:ascii="Calibri" w:hAnsi="Calibri" w:cs="Calibri"/>
        </w:rPr>
        <w:t xml:space="preserve">based in a </w:t>
      </w:r>
      <w:r w:rsidR="008B4292">
        <w:rPr>
          <w:rFonts w:ascii="Calibri" w:hAnsi="Calibri" w:cs="Calibri"/>
        </w:rPr>
        <w:t>suitable</w:t>
      </w:r>
      <w:r w:rsidR="008B4292" w:rsidRPr="00FE0F6C">
        <w:rPr>
          <w:rFonts w:ascii="Calibri" w:hAnsi="Calibri" w:cs="Calibri"/>
        </w:rPr>
        <w:t xml:space="preserve"> </w:t>
      </w:r>
      <w:r w:rsidR="004A08BA">
        <w:rPr>
          <w:rFonts w:ascii="Calibri" w:hAnsi="Calibri" w:cs="Calibri"/>
        </w:rPr>
        <w:t xml:space="preserve">national </w:t>
      </w:r>
      <w:r w:rsidR="00FE0668" w:rsidRPr="00FE0F6C">
        <w:rPr>
          <w:rFonts w:ascii="Calibri" w:hAnsi="Calibri" w:cs="Calibri"/>
        </w:rPr>
        <w:t xml:space="preserve">government office such as </w:t>
      </w:r>
      <w:r w:rsidR="0058673A">
        <w:rPr>
          <w:rFonts w:ascii="Calibri" w:hAnsi="Calibri" w:cs="Calibri"/>
        </w:rPr>
        <w:t>a PICT’s</w:t>
      </w:r>
      <w:r w:rsidR="0058673A" w:rsidRPr="00FE0F6C">
        <w:rPr>
          <w:rFonts w:ascii="Calibri" w:hAnsi="Calibri" w:cs="Calibri"/>
        </w:rPr>
        <w:t xml:space="preserve"> </w:t>
      </w:r>
      <w:r w:rsidR="00E867E9" w:rsidRPr="00FE0F6C">
        <w:rPr>
          <w:rFonts w:ascii="Calibri" w:hAnsi="Calibri" w:cs="Calibri"/>
        </w:rPr>
        <w:t>M</w:t>
      </w:r>
      <w:r w:rsidR="00FE0668" w:rsidRPr="00FE0F6C">
        <w:rPr>
          <w:rFonts w:ascii="Calibri" w:hAnsi="Calibri" w:cs="Calibri"/>
        </w:rPr>
        <w:t xml:space="preserve">inistry of </w:t>
      </w:r>
      <w:r w:rsidR="00E867E9" w:rsidRPr="00FE0F6C">
        <w:rPr>
          <w:rFonts w:ascii="Calibri" w:hAnsi="Calibri" w:cs="Calibri"/>
        </w:rPr>
        <w:t>Energy</w:t>
      </w:r>
      <w:r w:rsidR="002A38C7">
        <w:rPr>
          <w:rFonts w:ascii="Calibri" w:hAnsi="Calibri" w:cs="Calibri"/>
        </w:rPr>
        <w:t xml:space="preserve"> or Transport</w:t>
      </w:r>
      <w:r w:rsidR="004A08BA">
        <w:rPr>
          <w:rFonts w:ascii="Calibri" w:hAnsi="Calibri" w:cs="Calibri"/>
        </w:rPr>
        <w:t>:</w:t>
      </w:r>
    </w:p>
    <w:p w14:paraId="3D83C309" w14:textId="002E700D" w:rsidR="006C1E88" w:rsidRDefault="00E867E9" w:rsidP="006131D6">
      <w:pPr>
        <w:pStyle w:val="ListParagraph"/>
        <w:numPr>
          <w:ilvl w:val="1"/>
          <w:numId w:val="10"/>
        </w:numPr>
        <w:spacing w:after="120" w:line="216" w:lineRule="auto"/>
        <w:rPr>
          <w:rFonts w:ascii="Calibri" w:hAnsi="Calibri" w:cs="Calibri"/>
        </w:rPr>
      </w:pPr>
      <w:r w:rsidRPr="00FE0F6C">
        <w:rPr>
          <w:rFonts w:ascii="Calibri" w:hAnsi="Calibri" w:cs="Calibri"/>
        </w:rPr>
        <w:t>These are likely to begin as part-time positions for each PICT</w:t>
      </w:r>
      <w:r w:rsidR="002A38C7">
        <w:rPr>
          <w:rFonts w:ascii="Calibri" w:hAnsi="Calibri" w:cs="Calibri"/>
        </w:rPr>
        <w:t>, integrated into the responsibility of an existing position,</w:t>
      </w:r>
      <w:r w:rsidR="0058673A">
        <w:rPr>
          <w:rFonts w:ascii="Calibri" w:hAnsi="Calibri" w:cs="Calibri"/>
        </w:rPr>
        <w:t xml:space="preserve"> </w:t>
      </w:r>
      <w:r w:rsidR="00CA59A2">
        <w:rPr>
          <w:rFonts w:ascii="Calibri" w:hAnsi="Calibri" w:cs="Calibri"/>
        </w:rPr>
        <w:t xml:space="preserve">and it is proposed that </w:t>
      </w:r>
      <w:r w:rsidR="0058673A">
        <w:rPr>
          <w:rFonts w:ascii="Calibri" w:hAnsi="Calibri" w:cs="Calibri"/>
        </w:rPr>
        <w:t xml:space="preserve">the position </w:t>
      </w:r>
      <w:r w:rsidR="00CA59A2">
        <w:rPr>
          <w:rFonts w:ascii="Calibri" w:hAnsi="Calibri" w:cs="Calibri"/>
        </w:rPr>
        <w:t xml:space="preserve">is at least </w:t>
      </w:r>
      <w:r w:rsidR="0058673A">
        <w:rPr>
          <w:rFonts w:ascii="Calibri" w:hAnsi="Calibri" w:cs="Calibri"/>
        </w:rPr>
        <w:t xml:space="preserve">partly </w:t>
      </w:r>
      <w:r w:rsidR="0058673A" w:rsidRPr="006C1E88">
        <w:rPr>
          <w:rFonts w:ascii="Calibri" w:hAnsi="Calibri" w:cs="Calibri"/>
        </w:rPr>
        <w:t xml:space="preserve">sponsored by the </w:t>
      </w:r>
      <w:r w:rsidR="004A08BA">
        <w:rPr>
          <w:rFonts w:ascii="Calibri" w:hAnsi="Calibri" w:cs="Calibri"/>
        </w:rPr>
        <w:t>national</w:t>
      </w:r>
      <w:r w:rsidR="004A08BA" w:rsidRPr="006C1E88">
        <w:rPr>
          <w:rFonts w:ascii="Calibri" w:hAnsi="Calibri" w:cs="Calibri"/>
        </w:rPr>
        <w:t xml:space="preserve"> </w:t>
      </w:r>
      <w:r w:rsidR="0058673A" w:rsidRPr="006C1E88">
        <w:rPr>
          <w:rFonts w:ascii="Calibri" w:hAnsi="Calibri" w:cs="Calibri"/>
        </w:rPr>
        <w:t>government involved. However, it is expected that resources</w:t>
      </w:r>
      <w:r w:rsidR="000961C9" w:rsidRPr="006C1E88">
        <w:rPr>
          <w:rFonts w:ascii="Calibri" w:hAnsi="Calibri" w:cs="Calibri"/>
        </w:rPr>
        <w:t>,</w:t>
      </w:r>
      <w:r w:rsidR="0058673A" w:rsidRPr="006C1E88">
        <w:rPr>
          <w:rFonts w:ascii="Calibri" w:hAnsi="Calibri" w:cs="Calibri"/>
        </w:rPr>
        <w:t xml:space="preserve"> including those related to the prov</w:t>
      </w:r>
      <w:r w:rsidR="000961C9" w:rsidRPr="006C1E88">
        <w:rPr>
          <w:rFonts w:ascii="Calibri" w:hAnsi="Calibri" w:cs="Calibri"/>
        </w:rPr>
        <w:t xml:space="preserve">ision of </w:t>
      </w:r>
      <w:r w:rsidR="0058673A" w:rsidRPr="006C1E88">
        <w:rPr>
          <w:rFonts w:ascii="Calibri" w:hAnsi="Calibri" w:cs="Calibri"/>
        </w:rPr>
        <w:t>guideline</w:t>
      </w:r>
      <w:r w:rsidR="008B4292">
        <w:rPr>
          <w:rFonts w:ascii="Calibri" w:hAnsi="Calibri" w:cs="Calibri"/>
        </w:rPr>
        <w:t>s</w:t>
      </w:r>
      <w:r w:rsidR="0058673A" w:rsidRPr="006C1E88">
        <w:rPr>
          <w:rFonts w:ascii="Calibri" w:hAnsi="Calibri" w:cs="Calibri"/>
        </w:rPr>
        <w:t xml:space="preserve">, and awareness and promotional </w:t>
      </w:r>
      <w:r w:rsidR="000961C9" w:rsidRPr="006C1E88">
        <w:rPr>
          <w:rFonts w:ascii="Calibri" w:hAnsi="Calibri" w:cs="Calibri"/>
        </w:rPr>
        <w:t>materials</w:t>
      </w:r>
      <w:r w:rsidR="000961C9">
        <w:rPr>
          <w:rFonts w:ascii="Calibri" w:hAnsi="Calibri" w:cs="Calibri"/>
        </w:rPr>
        <w:t xml:space="preserve"> and </w:t>
      </w:r>
      <w:r w:rsidR="0058673A">
        <w:rPr>
          <w:rFonts w:ascii="Calibri" w:hAnsi="Calibri" w:cs="Calibri"/>
        </w:rPr>
        <w:t>publication</w:t>
      </w:r>
      <w:r w:rsidR="000961C9">
        <w:rPr>
          <w:rFonts w:ascii="Calibri" w:hAnsi="Calibri" w:cs="Calibri"/>
        </w:rPr>
        <w:t xml:space="preserve">s, would be provided by the Regional EV </w:t>
      </w:r>
      <w:r w:rsidR="00EB462B">
        <w:rPr>
          <w:rFonts w:ascii="Calibri" w:hAnsi="Calibri" w:cs="Calibri"/>
        </w:rPr>
        <w:t>Coordination Hub</w:t>
      </w:r>
      <w:r w:rsidR="000961C9">
        <w:rPr>
          <w:rFonts w:ascii="Calibri" w:hAnsi="Calibri" w:cs="Calibri"/>
        </w:rPr>
        <w:t xml:space="preserve"> and </w:t>
      </w:r>
      <w:r w:rsidR="006C1E88">
        <w:rPr>
          <w:rFonts w:ascii="Calibri" w:hAnsi="Calibri" w:cs="Calibri"/>
        </w:rPr>
        <w:t xml:space="preserve">any </w:t>
      </w:r>
      <w:r w:rsidR="000961C9">
        <w:rPr>
          <w:rFonts w:ascii="Calibri" w:hAnsi="Calibri" w:cs="Calibri"/>
        </w:rPr>
        <w:t>sponsorship</w:t>
      </w:r>
      <w:r w:rsidR="006C1E88">
        <w:rPr>
          <w:rFonts w:ascii="Calibri" w:hAnsi="Calibri" w:cs="Calibri"/>
        </w:rPr>
        <w:t xml:space="preserve"> </w:t>
      </w:r>
      <w:r w:rsidR="004A08BA">
        <w:rPr>
          <w:rFonts w:ascii="Calibri" w:hAnsi="Calibri" w:cs="Calibri"/>
        </w:rPr>
        <w:t xml:space="preserve">the hub </w:t>
      </w:r>
      <w:r w:rsidR="006C1E88">
        <w:rPr>
          <w:rFonts w:ascii="Calibri" w:hAnsi="Calibri" w:cs="Calibri"/>
        </w:rPr>
        <w:t>gains for this</w:t>
      </w:r>
      <w:r w:rsidR="004A08BA">
        <w:rPr>
          <w:rFonts w:ascii="Calibri" w:hAnsi="Calibri" w:cs="Calibri"/>
        </w:rPr>
        <w:t>;</w:t>
      </w:r>
    </w:p>
    <w:p w14:paraId="02DE13EE" w14:textId="12054E86" w:rsidR="000961C9" w:rsidRDefault="000961C9" w:rsidP="006131D6">
      <w:pPr>
        <w:pStyle w:val="ListParagraph"/>
        <w:numPr>
          <w:ilvl w:val="1"/>
          <w:numId w:val="10"/>
        </w:numPr>
        <w:spacing w:after="120" w:line="216" w:lineRule="auto"/>
        <w:rPr>
          <w:rFonts w:ascii="Calibri" w:hAnsi="Calibri" w:cs="Calibri"/>
        </w:rPr>
      </w:pPr>
      <w:r>
        <w:rPr>
          <w:rFonts w:ascii="Calibri" w:hAnsi="Calibri" w:cs="Calibri"/>
        </w:rPr>
        <w:t xml:space="preserve">Likewise, it is expected that the PICT </w:t>
      </w:r>
      <w:r w:rsidR="000438A1">
        <w:rPr>
          <w:rFonts w:ascii="Calibri" w:hAnsi="Calibri" w:cs="Calibri"/>
        </w:rPr>
        <w:t>EV National Contacts</w:t>
      </w:r>
      <w:r>
        <w:rPr>
          <w:rFonts w:ascii="Calibri" w:hAnsi="Calibri" w:cs="Calibri"/>
        </w:rPr>
        <w:t xml:space="preserve"> would receive </w:t>
      </w:r>
      <w:r w:rsidR="006C1E88">
        <w:rPr>
          <w:rFonts w:ascii="Calibri" w:hAnsi="Calibri" w:cs="Calibri"/>
        </w:rPr>
        <w:t xml:space="preserve">at least partial </w:t>
      </w:r>
      <w:r>
        <w:rPr>
          <w:rFonts w:ascii="Calibri" w:hAnsi="Calibri" w:cs="Calibri"/>
        </w:rPr>
        <w:t>funding for communications, and travel to joint EV Working Group meetings and other</w:t>
      </w:r>
      <w:r w:rsidR="008B4292">
        <w:rPr>
          <w:rFonts w:ascii="Calibri" w:hAnsi="Calibri" w:cs="Calibri"/>
        </w:rPr>
        <w:t>s</w:t>
      </w:r>
      <w:r>
        <w:rPr>
          <w:rFonts w:ascii="Calibri" w:hAnsi="Calibri" w:cs="Calibri"/>
        </w:rPr>
        <w:t xml:space="preserve"> from the Regional EV </w:t>
      </w:r>
      <w:r w:rsidR="00EB462B">
        <w:rPr>
          <w:rFonts w:ascii="Calibri" w:hAnsi="Calibri" w:cs="Calibri"/>
        </w:rPr>
        <w:t>Coordination Hub</w:t>
      </w:r>
      <w:r w:rsidR="006C1E88">
        <w:rPr>
          <w:rFonts w:ascii="Calibri" w:hAnsi="Calibri" w:cs="Calibri"/>
        </w:rPr>
        <w:t>, as sponsorship of the Regional EV Program allows. The PICT EV office would also</w:t>
      </w:r>
      <w:r>
        <w:rPr>
          <w:rFonts w:ascii="Calibri" w:hAnsi="Calibri" w:cs="Calibri"/>
        </w:rPr>
        <w:t xml:space="preserve"> receive Working Group funding for approved projects (such as demonstration projects)</w:t>
      </w:r>
      <w:r w:rsidR="00CA59A2">
        <w:rPr>
          <w:rFonts w:ascii="Calibri" w:hAnsi="Calibri" w:cs="Calibri"/>
        </w:rPr>
        <w:t>, again, as sponsorship allows.</w:t>
      </w:r>
    </w:p>
    <w:p w14:paraId="1CAF34E8" w14:textId="70A23031" w:rsidR="00E867E9" w:rsidRPr="00FE0F6C" w:rsidRDefault="00E867E9" w:rsidP="006131D6">
      <w:pPr>
        <w:pStyle w:val="ListParagraph"/>
        <w:numPr>
          <w:ilvl w:val="0"/>
          <w:numId w:val="10"/>
        </w:numPr>
        <w:spacing w:after="120" w:line="216" w:lineRule="auto"/>
        <w:rPr>
          <w:rFonts w:ascii="Calibri" w:hAnsi="Calibri" w:cs="Calibri"/>
        </w:rPr>
      </w:pPr>
      <w:r w:rsidRPr="00FE0F6C">
        <w:rPr>
          <w:rFonts w:ascii="Calibri" w:hAnsi="Calibri" w:cs="Calibri"/>
        </w:rPr>
        <w:t xml:space="preserve">The responsibilities of each PICT </w:t>
      </w:r>
      <w:r w:rsidR="000438A1">
        <w:rPr>
          <w:rFonts w:ascii="Calibri" w:hAnsi="Calibri" w:cs="Calibri"/>
        </w:rPr>
        <w:t>EV National Contact</w:t>
      </w:r>
      <w:r w:rsidR="000961C9">
        <w:rPr>
          <w:rFonts w:ascii="Calibri" w:hAnsi="Calibri" w:cs="Calibri"/>
        </w:rPr>
        <w:t xml:space="preserve"> and their office</w:t>
      </w:r>
      <w:r w:rsidRPr="00FE0F6C">
        <w:rPr>
          <w:rFonts w:ascii="Calibri" w:hAnsi="Calibri" w:cs="Calibri"/>
        </w:rPr>
        <w:t xml:space="preserve"> include:</w:t>
      </w:r>
    </w:p>
    <w:p w14:paraId="088D588B" w14:textId="77777777" w:rsidR="00E867E9" w:rsidRPr="00FE0F6C" w:rsidRDefault="00E867E9" w:rsidP="006131D6">
      <w:pPr>
        <w:pStyle w:val="ListParagraph"/>
        <w:numPr>
          <w:ilvl w:val="1"/>
          <w:numId w:val="10"/>
        </w:numPr>
        <w:spacing w:after="120" w:line="216" w:lineRule="auto"/>
        <w:rPr>
          <w:rFonts w:ascii="Calibri" w:hAnsi="Calibri" w:cs="Calibri"/>
        </w:rPr>
      </w:pPr>
      <w:r w:rsidRPr="00FE0F6C">
        <w:rPr>
          <w:rFonts w:ascii="Calibri" w:hAnsi="Calibri" w:cs="Calibri"/>
        </w:rPr>
        <w:t>Overs</w:t>
      </w:r>
      <w:r w:rsidR="00E163D7">
        <w:rPr>
          <w:rFonts w:ascii="Calibri" w:hAnsi="Calibri" w:cs="Calibri"/>
        </w:rPr>
        <w:t>ight</w:t>
      </w:r>
      <w:r w:rsidRPr="00FE0F6C">
        <w:rPr>
          <w:rFonts w:ascii="Calibri" w:hAnsi="Calibri" w:cs="Calibri"/>
        </w:rPr>
        <w:t xml:space="preserve"> of local PICT EV projects</w:t>
      </w:r>
      <w:r w:rsidR="008B4292">
        <w:rPr>
          <w:rFonts w:ascii="Calibri" w:hAnsi="Calibri" w:cs="Calibri"/>
        </w:rPr>
        <w:t>,</w:t>
      </w:r>
      <w:r w:rsidRPr="00FE0F6C">
        <w:rPr>
          <w:rFonts w:ascii="Calibri" w:hAnsi="Calibri" w:cs="Calibri"/>
        </w:rPr>
        <w:t xml:space="preserve"> including monitoring and evaluation of local PICT EV activities;</w:t>
      </w:r>
    </w:p>
    <w:p w14:paraId="318A6FB7" w14:textId="71F1D78C" w:rsidR="00E867E9" w:rsidRPr="00FE0F6C" w:rsidRDefault="00E867E9" w:rsidP="006131D6">
      <w:pPr>
        <w:pStyle w:val="ListParagraph"/>
        <w:numPr>
          <w:ilvl w:val="1"/>
          <w:numId w:val="10"/>
        </w:numPr>
        <w:spacing w:after="120" w:line="216" w:lineRule="auto"/>
        <w:rPr>
          <w:rFonts w:ascii="Calibri" w:hAnsi="Calibri" w:cs="Calibri"/>
        </w:rPr>
      </w:pPr>
      <w:r w:rsidRPr="00FE0F6C">
        <w:rPr>
          <w:rFonts w:ascii="Calibri" w:hAnsi="Calibri" w:cs="Calibri"/>
        </w:rPr>
        <w:lastRenderedPageBreak/>
        <w:t>Passing information between the Regional</w:t>
      </w:r>
      <w:r w:rsidR="000961C9">
        <w:rPr>
          <w:rFonts w:ascii="Calibri" w:hAnsi="Calibri" w:cs="Calibri"/>
        </w:rPr>
        <w:t xml:space="preserve"> EV</w:t>
      </w:r>
      <w:r w:rsidRPr="00FE0F6C">
        <w:rPr>
          <w:rFonts w:ascii="Calibri" w:hAnsi="Calibri" w:cs="Calibri"/>
        </w:rPr>
        <w:t xml:space="preserve"> </w:t>
      </w:r>
      <w:r w:rsidR="00EB462B">
        <w:rPr>
          <w:rFonts w:ascii="Calibri" w:hAnsi="Calibri" w:cs="Calibri"/>
        </w:rPr>
        <w:t>Coordination Hub</w:t>
      </w:r>
      <w:r w:rsidRPr="00FE0F6C">
        <w:rPr>
          <w:rFonts w:ascii="Calibri" w:hAnsi="Calibri" w:cs="Calibri"/>
        </w:rPr>
        <w:t xml:space="preserve"> and local PICT entities involved in the EV sector, and vice versa.</w:t>
      </w:r>
    </w:p>
    <w:p w14:paraId="26EC8132" w14:textId="77777777" w:rsidR="00E867E9" w:rsidRPr="00FE0F6C" w:rsidRDefault="00E867E9" w:rsidP="006131D6">
      <w:pPr>
        <w:pStyle w:val="ListParagraph"/>
        <w:numPr>
          <w:ilvl w:val="1"/>
          <w:numId w:val="10"/>
        </w:numPr>
        <w:spacing w:after="120" w:line="216" w:lineRule="auto"/>
        <w:rPr>
          <w:rFonts w:ascii="Calibri" w:hAnsi="Calibri" w:cs="Calibri"/>
        </w:rPr>
      </w:pPr>
      <w:r w:rsidRPr="00FE0F6C">
        <w:rPr>
          <w:rFonts w:ascii="Calibri" w:hAnsi="Calibri" w:cs="Calibri"/>
        </w:rPr>
        <w:t xml:space="preserve">Providing the PICT’s </w:t>
      </w:r>
      <w:r w:rsidR="00CA59A2">
        <w:rPr>
          <w:rFonts w:ascii="Calibri" w:hAnsi="Calibri" w:cs="Calibri"/>
        </w:rPr>
        <w:t>Centre</w:t>
      </w:r>
      <w:r w:rsidRPr="00FE0F6C">
        <w:rPr>
          <w:rFonts w:ascii="Calibri" w:hAnsi="Calibri" w:cs="Calibri"/>
        </w:rPr>
        <w:t xml:space="preserve"> for EV information and awareness programs.</w:t>
      </w:r>
    </w:p>
    <w:p w14:paraId="5A251A1A" w14:textId="77777777" w:rsidR="00550245" w:rsidRPr="000E6E06" w:rsidRDefault="00550245" w:rsidP="00550245">
      <w:pPr>
        <w:spacing w:after="0" w:line="216" w:lineRule="auto"/>
        <w:rPr>
          <w:rFonts w:ascii="Calibri" w:hAnsi="Calibri" w:cs="Calibri"/>
        </w:rPr>
      </w:pPr>
      <w:r w:rsidRPr="00B02A4A">
        <w:rPr>
          <w:rFonts w:ascii="Calibri" w:hAnsi="Calibri" w:cs="Calibri"/>
          <w:b/>
          <w:bCs/>
        </w:rPr>
        <w:t>Regional Subject Experts</w:t>
      </w:r>
      <w:r>
        <w:rPr>
          <w:rFonts w:ascii="Calibri" w:hAnsi="Calibri" w:cs="Calibri"/>
          <w:b/>
          <w:bCs/>
        </w:rPr>
        <w:t xml:space="preserve"> </w:t>
      </w:r>
      <w:r w:rsidRPr="000E6E06">
        <w:rPr>
          <w:rFonts w:ascii="Calibri" w:hAnsi="Calibri" w:cs="Calibri"/>
        </w:rPr>
        <w:t>– it is proposed</w:t>
      </w:r>
      <w:r>
        <w:rPr>
          <w:rFonts w:ascii="Calibri" w:hAnsi="Calibri" w:cs="Calibri"/>
        </w:rPr>
        <w:t xml:space="preserve"> that</w:t>
      </w:r>
      <w:r w:rsidRPr="000E6E06">
        <w:rPr>
          <w:rFonts w:ascii="Calibri" w:hAnsi="Calibri" w:cs="Calibri"/>
        </w:rPr>
        <w:t>:</w:t>
      </w:r>
    </w:p>
    <w:p w14:paraId="012D68EA" w14:textId="62EFF3F5" w:rsidR="00C1204A" w:rsidRDefault="00C1204A" w:rsidP="006131D6">
      <w:pPr>
        <w:pStyle w:val="ListParagraph"/>
        <w:numPr>
          <w:ilvl w:val="0"/>
          <w:numId w:val="10"/>
        </w:numPr>
        <w:spacing w:after="120" w:line="216" w:lineRule="auto"/>
        <w:rPr>
          <w:rFonts w:ascii="Calibri" w:hAnsi="Calibri" w:cs="Calibri"/>
        </w:rPr>
      </w:pPr>
      <w:r>
        <w:rPr>
          <w:rFonts w:ascii="Calibri" w:hAnsi="Calibri" w:cs="Calibri"/>
        </w:rPr>
        <w:t>Regional Subject Experts</w:t>
      </w:r>
      <w:r w:rsidR="002A38C7">
        <w:rPr>
          <w:rFonts w:ascii="Calibri" w:hAnsi="Calibri" w:cs="Calibri"/>
        </w:rPr>
        <w:t xml:space="preserve"> (or suitable persons able to manage the portfolio</w:t>
      </w:r>
      <w:r w:rsidR="00B552A6">
        <w:rPr>
          <w:rFonts w:ascii="Calibri" w:hAnsi="Calibri" w:cs="Calibri"/>
        </w:rPr>
        <w:t xml:space="preserve"> involved</w:t>
      </w:r>
      <w:r w:rsidR="002A38C7">
        <w:rPr>
          <w:rFonts w:ascii="Calibri" w:hAnsi="Calibri" w:cs="Calibri"/>
        </w:rPr>
        <w:t xml:space="preserve">) </w:t>
      </w:r>
      <w:r w:rsidR="00641267">
        <w:rPr>
          <w:rFonts w:ascii="Calibri" w:hAnsi="Calibri" w:cs="Calibri"/>
        </w:rPr>
        <w:t xml:space="preserve">will be chosen from those that already have </w:t>
      </w:r>
      <w:r w:rsidR="008B4292">
        <w:rPr>
          <w:rFonts w:ascii="Calibri" w:hAnsi="Calibri" w:cs="Calibri"/>
        </w:rPr>
        <w:t xml:space="preserve">a </w:t>
      </w:r>
      <w:r>
        <w:rPr>
          <w:rFonts w:ascii="Calibri" w:hAnsi="Calibri" w:cs="Calibri"/>
        </w:rPr>
        <w:t>good knowledge</w:t>
      </w:r>
      <w:r w:rsidR="00641267">
        <w:rPr>
          <w:rFonts w:ascii="Calibri" w:hAnsi="Calibri" w:cs="Calibri"/>
        </w:rPr>
        <w:t xml:space="preserve"> of desired subjects and will be supported to gain specific EV knowledge in their field.</w:t>
      </w:r>
      <w:r w:rsidR="00B552A6">
        <w:rPr>
          <w:rFonts w:ascii="Calibri" w:hAnsi="Calibri" w:cs="Calibri"/>
        </w:rPr>
        <w:t xml:space="preserve"> These </w:t>
      </w:r>
      <w:r w:rsidR="00C416C7">
        <w:rPr>
          <w:rFonts w:ascii="Calibri" w:hAnsi="Calibri" w:cs="Calibri"/>
        </w:rPr>
        <w:t xml:space="preserve">may be experts employed by technical institutes, with their (part) time on the Program negotiated for and supported by a stipend or other. </w:t>
      </w:r>
      <w:r w:rsidR="00641267">
        <w:rPr>
          <w:rFonts w:ascii="Calibri" w:hAnsi="Calibri" w:cs="Calibri"/>
        </w:rPr>
        <w:t>Through this means</w:t>
      </w:r>
      <w:r w:rsidR="008B4292">
        <w:rPr>
          <w:rFonts w:ascii="Calibri" w:hAnsi="Calibri" w:cs="Calibri"/>
        </w:rPr>
        <w:t>,</w:t>
      </w:r>
      <w:r w:rsidR="00641267">
        <w:rPr>
          <w:rFonts w:ascii="Calibri" w:hAnsi="Calibri" w:cs="Calibri"/>
        </w:rPr>
        <w:t xml:space="preserve"> it is hoped that the region will develop its own </w:t>
      </w:r>
      <w:r>
        <w:rPr>
          <w:rFonts w:ascii="Calibri" w:hAnsi="Calibri" w:cs="Calibri"/>
        </w:rPr>
        <w:t>expertise in the following sectors:</w:t>
      </w:r>
    </w:p>
    <w:p w14:paraId="461E93D4" w14:textId="77777777" w:rsidR="00C1204A" w:rsidRDefault="00C1204A" w:rsidP="006131D6">
      <w:pPr>
        <w:pStyle w:val="ListParagraph"/>
        <w:numPr>
          <w:ilvl w:val="1"/>
          <w:numId w:val="10"/>
        </w:numPr>
        <w:spacing w:after="120" w:line="216" w:lineRule="auto"/>
        <w:rPr>
          <w:rFonts w:ascii="Calibri" w:hAnsi="Calibri" w:cs="Calibri"/>
        </w:rPr>
      </w:pPr>
      <w:r>
        <w:rPr>
          <w:rFonts w:ascii="Calibri" w:hAnsi="Calibri" w:cs="Calibri"/>
        </w:rPr>
        <w:t>EV charging systems</w:t>
      </w:r>
      <w:r w:rsidR="009F0891">
        <w:rPr>
          <w:rFonts w:ascii="Calibri" w:hAnsi="Calibri" w:cs="Calibri"/>
        </w:rPr>
        <w:t xml:space="preserve"> and integration with the supply electricity</w:t>
      </w:r>
      <w:r>
        <w:rPr>
          <w:rFonts w:ascii="Calibri" w:hAnsi="Calibri" w:cs="Calibri"/>
        </w:rPr>
        <w:t>;</w:t>
      </w:r>
    </w:p>
    <w:p w14:paraId="1E19F60C" w14:textId="77777777" w:rsidR="00C1204A" w:rsidRDefault="00C1204A" w:rsidP="006131D6">
      <w:pPr>
        <w:pStyle w:val="ListParagraph"/>
        <w:numPr>
          <w:ilvl w:val="1"/>
          <w:numId w:val="10"/>
        </w:numPr>
        <w:spacing w:after="120" w:line="216" w:lineRule="auto"/>
        <w:rPr>
          <w:rFonts w:ascii="Calibri" w:hAnsi="Calibri" w:cs="Calibri"/>
        </w:rPr>
      </w:pPr>
      <w:r>
        <w:rPr>
          <w:rFonts w:ascii="Calibri" w:hAnsi="Calibri" w:cs="Calibri"/>
        </w:rPr>
        <w:t>Servicing and support of EV and EV-related technologies;</w:t>
      </w:r>
    </w:p>
    <w:p w14:paraId="6500FAFB" w14:textId="77777777" w:rsidR="00C1204A" w:rsidRDefault="00C1204A" w:rsidP="006131D6">
      <w:pPr>
        <w:pStyle w:val="ListParagraph"/>
        <w:numPr>
          <w:ilvl w:val="1"/>
          <w:numId w:val="10"/>
        </w:numPr>
        <w:spacing w:after="120" w:line="216" w:lineRule="auto"/>
        <w:rPr>
          <w:rFonts w:ascii="Calibri" w:hAnsi="Calibri" w:cs="Calibri"/>
        </w:rPr>
      </w:pPr>
      <w:r>
        <w:rPr>
          <w:rFonts w:ascii="Calibri" w:hAnsi="Calibri" w:cs="Calibri"/>
        </w:rPr>
        <w:t>Heavy EVs;</w:t>
      </w:r>
    </w:p>
    <w:p w14:paraId="71A95A1B" w14:textId="77777777" w:rsidR="00C1204A" w:rsidRDefault="00C1204A" w:rsidP="006131D6">
      <w:pPr>
        <w:pStyle w:val="ListParagraph"/>
        <w:numPr>
          <w:ilvl w:val="1"/>
          <w:numId w:val="10"/>
        </w:numPr>
        <w:spacing w:after="120" w:line="216" w:lineRule="auto"/>
        <w:rPr>
          <w:rFonts w:ascii="Calibri" w:hAnsi="Calibri" w:cs="Calibri"/>
        </w:rPr>
      </w:pPr>
      <w:r>
        <w:rPr>
          <w:rFonts w:ascii="Calibri" w:hAnsi="Calibri" w:cs="Calibri"/>
        </w:rPr>
        <w:t>Electrification in the marine sector;</w:t>
      </w:r>
    </w:p>
    <w:p w14:paraId="08F29F5E" w14:textId="77777777" w:rsidR="00C1204A" w:rsidRDefault="00C1204A" w:rsidP="006131D6">
      <w:pPr>
        <w:pStyle w:val="ListParagraph"/>
        <w:numPr>
          <w:ilvl w:val="1"/>
          <w:numId w:val="10"/>
        </w:numPr>
        <w:spacing w:after="120" w:line="216" w:lineRule="auto"/>
        <w:rPr>
          <w:rFonts w:ascii="Calibri" w:hAnsi="Calibri" w:cs="Calibri"/>
        </w:rPr>
      </w:pPr>
      <w:r>
        <w:rPr>
          <w:rFonts w:ascii="Calibri" w:hAnsi="Calibri" w:cs="Calibri"/>
        </w:rPr>
        <w:t>Re-use and end-of-life component management;</w:t>
      </w:r>
    </w:p>
    <w:p w14:paraId="5ED89FCE" w14:textId="0F6EF6AF" w:rsidR="00C1204A" w:rsidRDefault="009F0891" w:rsidP="006131D6">
      <w:pPr>
        <w:pStyle w:val="ListParagraph"/>
        <w:numPr>
          <w:ilvl w:val="1"/>
          <w:numId w:val="10"/>
        </w:numPr>
        <w:spacing w:after="0" w:line="216" w:lineRule="auto"/>
        <w:rPr>
          <w:rFonts w:ascii="Calibri" w:hAnsi="Calibri" w:cs="Calibri"/>
        </w:rPr>
      </w:pPr>
      <w:r>
        <w:rPr>
          <w:rFonts w:ascii="Calibri" w:hAnsi="Calibri" w:cs="Calibri"/>
        </w:rPr>
        <w:t>Low-voltage e-mobility and power supply systems.</w:t>
      </w:r>
    </w:p>
    <w:p w14:paraId="2EFA570A" w14:textId="28C2B057" w:rsidR="005B15D4" w:rsidRPr="00FF7D24" w:rsidRDefault="005B15D4" w:rsidP="006131D6">
      <w:pPr>
        <w:pStyle w:val="ListParagraph"/>
        <w:numPr>
          <w:ilvl w:val="0"/>
          <w:numId w:val="10"/>
        </w:numPr>
        <w:spacing w:line="216" w:lineRule="auto"/>
        <w:rPr>
          <w:rFonts w:ascii="Calibri" w:hAnsi="Calibri" w:cs="Calibri"/>
        </w:rPr>
      </w:pPr>
      <w:r w:rsidRPr="00FF7D24">
        <w:rPr>
          <w:rFonts w:ascii="Calibri" w:hAnsi="Calibri" w:cs="Calibri"/>
        </w:rPr>
        <w:t>The Regional Subject Experts will then be responsible for providing their expertise to PICT and regional projects and programs.</w:t>
      </w:r>
    </w:p>
    <w:p w14:paraId="377786B1" w14:textId="62A6A33F" w:rsidR="00550245" w:rsidRPr="00B02A4A" w:rsidRDefault="00550245" w:rsidP="00B02A4A">
      <w:pPr>
        <w:spacing w:after="0" w:line="216" w:lineRule="auto"/>
        <w:rPr>
          <w:rFonts w:ascii="Calibri" w:hAnsi="Calibri" w:cs="Calibri"/>
        </w:rPr>
      </w:pPr>
      <w:r w:rsidRPr="00B02A4A">
        <w:rPr>
          <w:rFonts w:ascii="Calibri" w:hAnsi="Calibri" w:cs="Calibri"/>
          <w:b/>
          <w:bCs/>
        </w:rPr>
        <w:t>International Links</w:t>
      </w:r>
      <w:r>
        <w:rPr>
          <w:rFonts w:ascii="Calibri" w:hAnsi="Calibri" w:cs="Calibri"/>
        </w:rPr>
        <w:t xml:space="preserve"> – it is proposed that:</w:t>
      </w:r>
    </w:p>
    <w:p w14:paraId="7F76FA81" w14:textId="6A2CF242" w:rsidR="005C5403" w:rsidRPr="00FE0F6C" w:rsidRDefault="005C5403" w:rsidP="006131D6">
      <w:pPr>
        <w:pStyle w:val="ListParagraph"/>
        <w:numPr>
          <w:ilvl w:val="0"/>
          <w:numId w:val="10"/>
        </w:numPr>
        <w:spacing w:after="120" w:line="216" w:lineRule="auto"/>
        <w:rPr>
          <w:rFonts w:ascii="Calibri" w:hAnsi="Calibri" w:cs="Calibri"/>
        </w:rPr>
      </w:pPr>
      <w:r w:rsidRPr="00FE0F6C">
        <w:rPr>
          <w:rFonts w:ascii="Calibri" w:hAnsi="Calibri" w:cs="Calibri"/>
        </w:rPr>
        <w:t xml:space="preserve">Links </w:t>
      </w:r>
      <w:r w:rsidR="00550245">
        <w:rPr>
          <w:rFonts w:ascii="Calibri" w:hAnsi="Calibri" w:cs="Calibri"/>
        </w:rPr>
        <w:t xml:space="preserve">are established </w:t>
      </w:r>
      <w:r w:rsidRPr="00FE0F6C">
        <w:rPr>
          <w:rFonts w:ascii="Calibri" w:hAnsi="Calibri" w:cs="Calibri"/>
        </w:rPr>
        <w:t>with international organi</w:t>
      </w:r>
      <w:r w:rsidR="008B4292">
        <w:rPr>
          <w:rFonts w:ascii="Calibri" w:hAnsi="Calibri" w:cs="Calibri"/>
        </w:rPr>
        <w:t>z</w:t>
      </w:r>
      <w:r w:rsidRPr="00FE0F6C">
        <w:rPr>
          <w:rFonts w:ascii="Calibri" w:hAnsi="Calibri" w:cs="Calibri"/>
        </w:rPr>
        <w:t>ations and</w:t>
      </w:r>
      <w:r w:rsidR="00550245">
        <w:rPr>
          <w:rFonts w:ascii="Calibri" w:hAnsi="Calibri" w:cs="Calibri"/>
        </w:rPr>
        <w:t xml:space="preserve"> international</w:t>
      </w:r>
      <w:r w:rsidRPr="00FE0F6C">
        <w:rPr>
          <w:rFonts w:ascii="Calibri" w:hAnsi="Calibri" w:cs="Calibri"/>
        </w:rPr>
        <w:t xml:space="preserve"> subject experts, including through partnerships with them</w:t>
      </w:r>
      <w:r w:rsidR="004917D6">
        <w:rPr>
          <w:rFonts w:ascii="Calibri" w:hAnsi="Calibri" w:cs="Calibri"/>
        </w:rPr>
        <w:t xml:space="preserve"> (including SID</w:t>
      </w:r>
      <w:r w:rsidR="008B4292">
        <w:rPr>
          <w:rFonts w:ascii="Calibri" w:hAnsi="Calibri" w:cs="Calibri"/>
        </w:rPr>
        <w:t>S</w:t>
      </w:r>
      <w:r w:rsidR="004917D6">
        <w:rPr>
          <w:rFonts w:ascii="Calibri" w:hAnsi="Calibri" w:cs="Calibri"/>
        </w:rPr>
        <w:t>-SID</w:t>
      </w:r>
      <w:r w:rsidR="008B4292">
        <w:rPr>
          <w:rFonts w:ascii="Calibri" w:hAnsi="Calibri" w:cs="Calibri"/>
        </w:rPr>
        <w:t>S</w:t>
      </w:r>
      <w:r w:rsidR="004917D6">
        <w:rPr>
          <w:rFonts w:ascii="Calibri" w:hAnsi="Calibri" w:cs="Calibri"/>
        </w:rPr>
        <w:t xml:space="preserve"> cooperation within the scope of the Global Network of Regional Sustainable Energy </w:t>
      </w:r>
      <w:r w:rsidR="00CA59A2">
        <w:rPr>
          <w:rFonts w:ascii="Calibri" w:hAnsi="Calibri" w:cs="Calibri"/>
        </w:rPr>
        <w:t>Centre</w:t>
      </w:r>
      <w:r w:rsidR="004917D6">
        <w:rPr>
          <w:rFonts w:ascii="Calibri" w:hAnsi="Calibri" w:cs="Calibri"/>
        </w:rPr>
        <w:t>s (GN-SEC)</w:t>
      </w:r>
      <w:r w:rsidRPr="00FE0F6C">
        <w:rPr>
          <w:rFonts w:ascii="Calibri" w:hAnsi="Calibri" w:cs="Calibri"/>
        </w:rPr>
        <w:t xml:space="preserve">, aimed at providing the region with ready access to leading information, expert advice and </w:t>
      </w:r>
      <w:r w:rsidR="00550245">
        <w:rPr>
          <w:rFonts w:ascii="Calibri" w:hAnsi="Calibri" w:cs="Calibri"/>
        </w:rPr>
        <w:t xml:space="preserve">informed </w:t>
      </w:r>
      <w:r w:rsidRPr="00FE0F6C">
        <w:rPr>
          <w:rFonts w:ascii="Calibri" w:hAnsi="Calibri" w:cs="Calibri"/>
        </w:rPr>
        <w:t xml:space="preserve">project stewardship. </w:t>
      </w:r>
    </w:p>
    <w:p w14:paraId="12752EA3" w14:textId="77777777" w:rsidR="005C5403" w:rsidRPr="00FE0F6C" w:rsidRDefault="005C5403" w:rsidP="006131D6">
      <w:pPr>
        <w:pStyle w:val="ListParagraph"/>
        <w:numPr>
          <w:ilvl w:val="0"/>
          <w:numId w:val="10"/>
        </w:numPr>
        <w:spacing w:after="120" w:line="216" w:lineRule="auto"/>
        <w:rPr>
          <w:rFonts w:ascii="Calibri" w:hAnsi="Calibri" w:cs="Calibri"/>
        </w:rPr>
      </w:pPr>
      <w:r w:rsidRPr="00FE0F6C">
        <w:rPr>
          <w:rFonts w:ascii="Calibri" w:hAnsi="Calibri" w:cs="Calibri"/>
        </w:rPr>
        <w:t xml:space="preserve">Links </w:t>
      </w:r>
      <w:r w:rsidR="00550245">
        <w:rPr>
          <w:rFonts w:ascii="Calibri" w:hAnsi="Calibri" w:cs="Calibri"/>
        </w:rPr>
        <w:t xml:space="preserve">are established </w:t>
      </w:r>
      <w:r w:rsidRPr="00FE0F6C">
        <w:rPr>
          <w:rFonts w:ascii="Calibri" w:hAnsi="Calibri" w:cs="Calibri"/>
        </w:rPr>
        <w:t>with donor agenc</w:t>
      </w:r>
      <w:r w:rsidR="00AA5BE1">
        <w:rPr>
          <w:rFonts w:ascii="Calibri" w:hAnsi="Calibri" w:cs="Calibri"/>
        </w:rPr>
        <w:t xml:space="preserve">ies, preferably working with donor agency </w:t>
      </w:r>
      <w:r w:rsidRPr="00FE0F6C">
        <w:rPr>
          <w:rFonts w:ascii="Calibri" w:hAnsi="Calibri" w:cs="Calibri"/>
        </w:rPr>
        <w:t>collectives</w:t>
      </w:r>
      <w:r w:rsidR="00AA5BE1">
        <w:rPr>
          <w:rFonts w:ascii="Calibri" w:hAnsi="Calibri" w:cs="Calibri"/>
        </w:rPr>
        <w:t xml:space="preserve"> (</w:t>
      </w:r>
      <w:r w:rsidR="00951B62">
        <w:rPr>
          <w:rFonts w:ascii="Calibri" w:hAnsi="Calibri" w:cs="Calibri"/>
        </w:rPr>
        <w:t>aimed at</w:t>
      </w:r>
      <w:r w:rsidR="00AA5BE1">
        <w:rPr>
          <w:rFonts w:ascii="Calibri" w:hAnsi="Calibri" w:cs="Calibri"/>
        </w:rPr>
        <w:t xml:space="preserve"> provid</w:t>
      </w:r>
      <w:r w:rsidR="00951B62">
        <w:rPr>
          <w:rFonts w:ascii="Calibri" w:hAnsi="Calibri" w:cs="Calibri"/>
        </w:rPr>
        <w:t>ing</w:t>
      </w:r>
      <w:r w:rsidR="00AA5BE1">
        <w:rPr>
          <w:rFonts w:ascii="Calibri" w:hAnsi="Calibri" w:cs="Calibri"/>
        </w:rPr>
        <w:t xml:space="preserve"> efficient organisation of </w:t>
      </w:r>
      <w:r w:rsidR="00951B62">
        <w:rPr>
          <w:rFonts w:ascii="Calibri" w:hAnsi="Calibri" w:cs="Calibri"/>
        </w:rPr>
        <w:t>donor support)</w:t>
      </w:r>
      <w:r w:rsidRPr="00FE0F6C">
        <w:rPr>
          <w:rFonts w:ascii="Calibri" w:hAnsi="Calibri" w:cs="Calibri"/>
        </w:rPr>
        <w:t>.</w:t>
      </w:r>
    </w:p>
    <w:p w14:paraId="348ADBC9" w14:textId="77777777" w:rsidR="00DE55E7" w:rsidRDefault="00DE55E7" w:rsidP="00FF7D24">
      <w:pPr>
        <w:pStyle w:val="Heading2"/>
        <w:spacing w:before="240" w:after="120"/>
        <w:ind w:left="578" w:hanging="578"/>
        <w:rPr>
          <w:rFonts w:asciiTheme="minorHAnsi" w:hAnsiTheme="minorHAnsi" w:cstheme="minorHAnsi"/>
          <w:b/>
          <w:bCs/>
          <w:color w:val="1F3864" w:themeColor="accent1" w:themeShade="80"/>
          <w:sz w:val="22"/>
          <w:szCs w:val="22"/>
        </w:rPr>
      </w:pPr>
      <w:bookmarkStart w:id="14" w:name="_Toc36839565"/>
      <w:r>
        <w:rPr>
          <w:rFonts w:asciiTheme="minorHAnsi" w:hAnsiTheme="minorHAnsi" w:cstheme="minorHAnsi"/>
          <w:b/>
          <w:bCs/>
          <w:color w:val="1F3864" w:themeColor="accent1" w:themeShade="80"/>
          <w:sz w:val="22"/>
          <w:szCs w:val="22"/>
        </w:rPr>
        <w:t>Regional EV Program Funding Mechanisms</w:t>
      </w:r>
      <w:bookmarkEnd w:id="14"/>
    </w:p>
    <w:p w14:paraId="4E1E8D2E" w14:textId="5956D0BA" w:rsidR="00DE55E7" w:rsidRPr="00DE55E7" w:rsidRDefault="00DE55E7" w:rsidP="00FF7D24">
      <w:pPr>
        <w:spacing w:after="0" w:line="216" w:lineRule="auto"/>
        <w:rPr>
          <w:rFonts w:ascii="Calibri" w:hAnsi="Calibri" w:cs="Calibri"/>
        </w:rPr>
      </w:pPr>
      <w:r w:rsidRPr="00DE55E7">
        <w:rPr>
          <w:rFonts w:ascii="Calibri" w:hAnsi="Calibri" w:cs="Calibri"/>
        </w:rPr>
        <w:t xml:space="preserve">It is proposed that </w:t>
      </w:r>
      <w:r>
        <w:rPr>
          <w:rFonts w:ascii="Calibri" w:hAnsi="Calibri" w:cs="Calibri"/>
        </w:rPr>
        <w:t xml:space="preserve">the Regional EV Program is funded by </w:t>
      </w:r>
      <w:r w:rsidRPr="00DE55E7">
        <w:rPr>
          <w:rFonts w:ascii="Calibri" w:hAnsi="Calibri" w:cs="Calibri"/>
        </w:rPr>
        <w:t>various means including:</w:t>
      </w:r>
    </w:p>
    <w:p w14:paraId="051AEB6A" w14:textId="5593991C" w:rsidR="009D446C" w:rsidRPr="009D446C" w:rsidRDefault="00DE55E7" w:rsidP="006131D6">
      <w:pPr>
        <w:pStyle w:val="ListParagraph"/>
        <w:numPr>
          <w:ilvl w:val="0"/>
          <w:numId w:val="12"/>
        </w:numPr>
        <w:spacing w:after="120" w:line="216" w:lineRule="auto"/>
        <w:rPr>
          <w:rFonts w:ascii="Calibri" w:hAnsi="Calibri" w:cs="Calibri"/>
        </w:rPr>
      </w:pPr>
      <w:r w:rsidRPr="009D446C">
        <w:rPr>
          <w:rFonts w:ascii="Calibri" w:hAnsi="Calibri" w:cs="Calibri"/>
        </w:rPr>
        <w:t xml:space="preserve">For the Regional EV </w:t>
      </w:r>
      <w:r w:rsidR="00EB462B">
        <w:rPr>
          <w:rFonts w:ascii="Calibri" w:hAnsi="Calibri" w:cs="Calibri"/>
        </w:rPr>
        <w:t>Coordination Hub</w:t>
      </w:r>
      <w:r w:rsidR="00C35493">
        <w:rPr>
          <w:rFonts w:ascii="Calibri" w:hAnsi="Calibri" w:cs="Calibri"/>
        </w:rPr>
        <w:t xml:space="preserve"> and </w:t>
      </w:r>
      <w:r w:rsidR="00D53636">
        <w:rPr>
          <w:rFonts w:ascii="Calibri" w:hAnsi="Calibri" w:cs="Calibri"/>
        </w:rPr>
        <w:t>Working Group</w:t>
      </w:r>
      <w:r w:rsidRPr="009D446C">
        <w:rPr>
          <w:rFonts w:ascii="Calibri" w:hAnsi="Calibri" w:cs="Calibri"/>
        </w:rPr>
        <w:t xml:space="preserve">: </w:t>
      </w:r>
      <w:r w:rsidR="009D446C">
        <w:rPr>
          <w:rFonts w:ascii="Calibri" w:hAnsi="Calibri" w:cs="Calibri"/>
        </w:rPr>
        <w:t>r</w:t>
      </w:r>
      <w:r w:rsidRPr="009D446C">
        <w:rPr>
          <w:rFonts w:ascii="Calibri" w:hAnsi="Calibri" w:cs="Calibri"/>
        </w:rPr>
        <w:t xml:space="preserve">egional funding </w:t>
      </w:r>
      <w:r w:rsidR="009D446C" w:rsidRPr="009D446C">
        <w:rPr>
          <w:rFonts w:ascii="Calibri" w:hAnsi="Calibri" w:cs="Calibri"/>
        </w:rPr>
        <w:t xml:space="preserve">allocated for this purpose and provided through </w:t>
      </w:r>
      <w:r w:rsidR="003B2D7E">
        <w:rPr>
          <w:rFonts w:ascii="Calibri" w:hAnsi="Calibri" w:cs="Calibri"/>
        </w:rPr>
        <w:t>PCREEE/</w:t>
      </w:r>
      <w:r w:rsidR="009D446C" w:rsidRPr="009D446C">
        <w:rPr>
          <w:rFonts w:ascii="Calibri" w:hAnsi="Calibri" w:cs="Calibri"/>
        </w:rPr>
        <w:t>SPC</w:t>
      </w:r>
      <w:r w:rsidR="002E44DD">
        <w:rPr>
          <w:rFonts w:ascii="Calibri" w:hAnsi="Calibri" w:cs="Calibri"/>
        </w:rPr>
        <w:t>.</w:t>
      </w:r>
      <w:r w:rsidR="00F24176">
        <w:rPr>
          <w:rFonts w:ascii="Calibri" w:hAnsi="Calibri" w:cs="Calibri"/>
        </w:rPr>
        <w:t xml:space="preserve"> </w:t>
      </w:r>
      <w:r w:rsidR="00AF43B2">
        <w:rPr>
          <w:rFonts w:ascii="Calibri" w:hAnsi="Calibri" w:cs="Calibri"/>
        </w:rPr>
        <w:t>UNIDO continues to provide technical support to the Hub in close coordination with other partners;</w:t>
      </w:r>
    </w:p>
    <w:p w14:paraId="74C602D8" w14:textId="2F44CA3F" w:rsidR="009D446C" w:rsidRDefault="00DE55E7" w:rsidP="006131D6">
      <w:pPr>
        <w:pStyle w:val="ListParagraph"/>
        <w:numPr>
          <w:ilvl w:val="0"/>
          <w:numId w:val="12"/>
        </w:numPr>
        <w:spacing w:after="120" w:line="216" w:lineRule="auto"/>
        <w:rPr>
          <w:rFonts w:ascii="Calibri" w:hAnsi="Calibri" w:cs="Calibri"/>
        </w:rPr>
      </w:pPr>
      <w:r w:rsidRPr="00DE55E7">
        <w:rPr>
          <w:rFonts w:ascii="Calibri" w:hAnsi="Calibri" w:cs="Calibri"/>
        </w:rPr>
        <w:t xml:space="preserve">For the PICT </w:t>
      </w:r>
      <w:r w:rsidR="000438A1">
        <w:rPr>
          <w:rFonts w:ascii="Calibri" w:hAnsi="Calibri" w:cs="Calibri"/>
        </w:rPr>
        <w:t>EV National Contacts</w:t>
      </w:r>
      <w:r w:rsidRPr="00DE55E7">
        <w:rPr>
          <w:rFonts w:ascii="Calibri" w:hAnsi="Calibri" w:cs="Calibri"/>
        </w:rPr>
        <w:t xml:space="preserve">: </w:t>
      </w:r>
    </w:p>
    <w:p w14:paraId="6B68014B" w14:textId="7D0FA9F3" w:rsidR="009D446C" w:rsidRDefault="009D446C" w:rsidP="006131D6">
      <w:pPr>
        <w:pStyle w:val="ListParagraph"/>
        <w:numPr>
          <w:ilvl w:val="1"/>
          <w:numId w:val="12"/>
        </w:numPr>
        <w:spacing w:after="120" w:line="216" w:lineRule="auto"/>
        <w:rPr>
          <w:rFonts w:ascii="Calibri" w:hAnsi="Calibri" w:cs="Calibri"/>
        </w:rPr>
      </w:pPr>
      <w:r>
        <w:rPr>
          <w:rFonts w:ascii="Calibri" w:hAnsi="Calibri" w:cs="Calibri"/>
        </w:rPr>
        <w:t>A</w:t>
      </w:r>
      <w:r w:rsidR="00DE55E7" w:rsidRPr="00DE55E7">
        <w:rPr>
          <w:rFonts w:ascii="Calibri" w:hAnsi="Calibri" w:cs="Calibri"/>
        </w:rPr>
        <w:t xml:space="preserve">t least partial sponsorship of the PICT </w:t>
      </w:r>
      <w:r w:rsidR="000438A1">
        <w:rPr>
          <w:rFonts w:ascii="Calibri" w:hAnsi="Calibri" w:cs="Calibri"/>
        </w:rPr>
        <w:t>EV National Contact</w:t>
      </w:r>
      <w:r w:rsidR="00DE55E7" w:rsidRPr="00DE55E7">
        <w:rPr>
          <w:rFonts w:ascii="Calibri" w:hAnsi="Calibri" w:cs="Calibri"/>
        </w:rPr>
        <w:t xml:space="preserve"> desks by individual PICTs</w:t>
      </w:r>
      <w:r>
        <w:rPr>
          <w:rFonts w:ascii="Calibri" w:hAnsi="Calibri" w:cs="Calibri"/>
        </w:rPr>
        <w:t>;</w:t>
      </w:r>
    </w:p>
    <w:p w14:paraId="10067896" w14:textId="2A412F09" w:rsidR="00475DB9" w:rsidRDefault="009D446C" w:rsidP="006131D6">
      <w:pPr>
        <w:pStyle w:val="ListParagraph"/>
        <w:numPr>
          <w:ilvl w:val="1"/>
          <w:numId w:val="12"/>
        </w:numPr>
        <w:spacing w:after="120" w:line="216" w:lineRule="auto"/>
        <w:rPr>
          <w:rFonts w:ascii="Calibri" w:hAnsi="Calibri" w:cs="Calibri"/>
        </w:rPr>
      </w:pPr>
      <w:r>
        <w:rPr>
          <w:rFonts w:ascii="Calibri" w:hAnsi="Calibri" w:cs="Calibri"/>
        </w:rPr>
        <w:t>Travel to regional EV activities through collective donor sponsorship, where this is attained</w:t>
      </w:r>
      <w:r w:rsidR="00475DB9">
        <w:rPr>
          <w:rFonts w:ascii="Calibri" w:hAnsi="Calibri" w:cs="Calibri"/>
        </w:rPr>
        <w:t xml:space="preserve"> by the Regional EV </w:t>
      </w:r>
      <w:r w:rsidR="00EB462B">
        <w:rPr>
          <w:rFonts w:ascii="Calibri" w:hAnsi="Calibri" w:cs="Calibri"/>
        </w:rPr>
        <w:t>Coordination Hub</w:t>
      </w:r>
      <w:r w:rsidR="00475DB9">
        <w:rPr>
          <w:rFonts w:ascii="Calibri" w:hAnsi="Calibri" w:cs="Calibri"/>
        </w:rPr>
        <w:t xml:space="preserve"> for this purpose;</w:t>
      </w:r>
    </w:p>
    <w:p w14:paraId="634CB9FA" w14:textId="65E671C9" w:rsidR="00475DB9" w:rsidRDefault="00475DB9" w:rsidP="006131D6">
      <w:pPr>
        <w:pStyle w:val="ListParagraph"/>
        <w:numPr>
          <w:ilvl w:val="1"/>
          <w:numId w:val="12"/>
        </w:numPr>
        <w:spacing w:after="120" w:line="216" w:lineRule="auto"/>
        <w:rPr>
          <w:rFonts w:ascii="Calibri" w:hAnsi="Calibri" w:cs="Calibri"/>
        </w:rPr>
      </w:pPr>
      <w:r>
        <w:rPr>
          <w:rFonts w:ascii="Calibri" w:hAnsi="Calibri" w:cs="Calibri"/>
        </w:rPr>
        <w:t>Resource materials provide</w:t>
      </w:r>
      <w:r w:rsidR="002028B8">
        <w:rPr>
          <w:rFonts w:ascii="Calibri" w:hAnsi="Calibri" w:cs="Calibri"/>
        </w:rPr>
        <w:t>d</w:t>
      </w:r>
      <w:r>
        <w:rPr>
          <w:rFonts w:ascii="Calibri" w:hAnsi="Calibri" w:cs="Calibri"/>
        </w:rPr>
        <w:t xml:space="preserve"> by the Regional EV </w:t>
      </w:r>
      <w:r w:rsidR="00EB462B">
        <w:rPr>
          <w:rFonts w:ascii="Calibri" w:hAnsi="Calibri" w:cs="Calibri"/>
        </w:rPr>
        <w:t>Coordination Hub</w:t>
      </w:r>
      <w:r>
        <w:rPr>
          <w:rFonts w:ascii="Calibri" w:hAnsi="Calibri" w:cs="Calibri"/>
        </w:rPr>
        <w:t xml:space="preserve"> (which may in turn be provided through regional funding </w:t>
      </w:r>
      <w:r w:rsidR="00823BC6">
        <w:rPr>
          <w:rFonts w:ascii="Calibri" w:hAnsi="Calibri" w:cs="Calibri"/>
        </w:rPr>
        <w:t>and/</w:t>
      </w:r>
      <w:r>
        <w:rPr>
          <w:rFonts w:ascii="Calibri" w:hAnsi="Calibri" w:cs="Calibri"/>
        </w:rPr>
        <w:t>or through TA</w:t>
      </w:r>
      <w:r w:rsidR="002028B8">
        <w:rPr>
          <w:rFonts w:ascii="Calibri" w:hAnsi="Calibri" w:cs="Calibri"/>
        </w:rPr>
        <w:t xml:space="preserve">-related projects </w:t>
      </w:r>
      <w:r>
        <w:rPr>
          <w:rFonts w:ascii="Calibri" w:hAnsi="Calibri" w:cs="Calibri"/>
        </w:rPr>
        <w:t>for this purpose);</w:t>
      </w:r>
    </w:p>
    <w:p w14:paraId="1187A176" w14:textId="77777777" w:rsidR="002028B8" w:rsidRDefault="00DE55E7" w:rsidP="006131D6">
      <w:pPr>
        <w:pStyle w:val="ListParagraph"/>
        <w:numPr>
          <w:ilvl w:val="0"/>
          <w:numId w:val="12"/>
        </w:numPr>
        <w:spacing w:after="120" w:line="216" w:lineRule="auto"/>
        <w:rPr>
          <w:rFonts w:ascii="Calibri" w:hAnsi="Calibri" w:cs="Calibri"/>
        </w:rPr>
      </w:pPr>
      <w:r w:rsidRPr="00DE55E7">
        <w:rPr>
          <w:rFonts w:ascii="Calibri" w:hAnsi="Calibri" w:cs="Calibri"/>
        </w:rPr>
        <w:t xml:space="preserve">For the Regional Subject Experts: </w:t>
      </w:r>
    </w:p>
    <w:p w14:paraId="1B49E617" w14:textId="77777777" w:rsidR="002028B8" w:rsidRDefault="002028B8" w:rsidP="006131D6">
      <w:pPr>
        <w:pStyle w:val="ListParagraph"/>
        <w:numPr>
          <w:ilvl w:val="1"/>
          <w:numId w:val="12"/>
        </w:numPr>
        <w:spacing w:after="120" w:line="216" w:lineRule="auto"/>
        <w:rPr>
          <w:rFonts w:ascii="Calibri" w:hAnsi="Calibri" w:cs="Calibri"/>
        </w:rPr>
      </w:pPr>
      <w:r>
        <w:rPr>
          <w:rFonts w:ascii="Calibri" w:hAnsi="Calibri" w:cs="Calibri"/>
        </w:rPr>
        <w:t>An annual stipend provided through</w:t>
      </w:r>
      <w:r w:rsidR="00DE55E7" w:rsidRPr="00DE55E7">
        <w:rPr>
          <w:rFonts w:ascii="Calibri" w:hAnsi="Calibri" w:cs="Calibri"/>
        </w:rPr>
        <w:t xml:space="preserve"> regional sponsorship</w:t>
      </w:r>
      <w:r>
        <w:rPr>
          <w:rFonts w:ascii="Calibri" w:hAnsi="Calibri" w:cs="Calibri"/>
        </w:rPr>
        <w:t xml:space="preserve"> and administered by </w:t>
      </w:r>
      <w:r w:rsidR="00DE55E7" w:rsidRPr="00DE55E7">
        <w:rPr>
          <w:rFonts w:ascii="Calibri" w:hAnsi="Calibri" w:cs="Calibri"/>
        </w:rPr>
        <w:t>SPC</w:t>
      </w:r>
      <w:r w:rsidR="00EF2505">
        <w:rPr>
          <w:rFonts w:ascii="Calibri" w:hAnsi="Calibri" w:cs="Calibri"/>
        </w:rPr>
        <w:t>/PCREEE</w:t>
      </w:r>
      <w:r>
        <w:rPr>
          <w:rFonts w:ascii="Calibri" w:hAnsi="Calibri" w:cs="Calibri"/>
        </w:rPr>
        <w:t>;</w:t>
      </w:r>
    </w:p>
    <w:p w14:paraId="7D0CB8FF" w14:textId="4FF51810" w:rsidR="002028B8" w:rsidRDefault="002028B8" w:rsidP="006131D6">
      <w:pPr>
        <w:pStyle w:val="ListParagraph"/>
        <w:numPr>
          <w:ilvl w:val="1"/>
          <w:numId w:val="12"/>
        </w:numPr>
        <w:spacing w:after="120" w:line="216" w:lineRule="auto"/>
        <w:rPr>
          <w:rFonts w:ascii="Calibri" w:hAnsi="Calibri" w:cs="Calibri"/>
        </w:rPr>
      </w:pPr>
      <w:r>
        <w:rPr>
          <w:rFonts w:ascii="Calibri" w:hAnsi="Calibri" w:cs="Calibri"/>
        </w:rPr>
        <w:t xml:space="preserve">Travel to regional EV activities through collective donor sponsorship, where this is attained by the Regional EV </w:t>
      </w:r>
      <w:r w:rsidR="00EB462B">
        <w:rPr>
          <w:rFonts w:ascii="Calibri" w:hAnsi="Calibri" w:cs="Calibri"/>
        </w:rPr>
        <w:t>Coordination Hub</w:t>
      </w:r>
      <w:r>
        <w:rPr>
          <w:rFonts w:ascii="Calibri" w:hAnsi="Calibri" w:cs="Calibri"/>
        </w:rPr>
        <w:t xml:space="preserve"> for this purpose;</w:t>
      </w:r>
    </w:p>
    <w:p w14:paraId="6C221B20" w14:textId="77777777" w:rsidR="00DE55E7" w:rsidRPr="00DE55E7" w:rsidRDefault="002028B8" w:rsidP="006131D6">
      <w:pPr>
        <w:pStyle w:val="ListParagraph"/>
        <w:numPr>
          <w:ilvl w:val="1"/>
          <w:numId w:val="12"/>
        </w:numPr>
        <w:spacing w:after="120" w:line="216" w:lineRule="auto"/>
        <w:rPr>
          <w:rFonts w:ascii="Calibri" w:hAnsi="Calibri" w:cs="Calibri"/>
        </w:rPr>
      </w:pPr>
      <w:r>
        <w:rPr>
          <w:rFonts w:ascii="Calibri" w:hAnsi="Calibri" w:cs="Calibri"/>
        </w:rPr>
        <w:t>Supplementary funding provided through TA-related projects that involve the Regional Subject Expert</w:t>
      </w:r>
      <w:r w:rsidR="007052F7">
        <w:rPr>
          <w:rFonts w:ascii="Calibri" w:hAnsi="Calibri" w:cs="Calibri"/>
        </w:rPr>
        <w:t>;</w:t>
      </w:r>
    </w:p>
    <w:p w14:paraId="73778AA4" w14:textId="56F4DF09" w:rsidR="007052F7" w:rsidRDefault="00DE55E7" w:rsidP="006131D6">
      <w:pPr>
        <w:pStyle w:val="ListParagraph"/>
        <w:numPr>
          <w:ilvl w:val="0"/>
          <w:numId w:val="12"/>
        </w:numPr>
        <w:spacing w:after="120" w:line="216" w:lineRule="auto"/>
        <w:rPr>
          <w:rFonts w:ascii="Calibri" w:hAnsi="Calibri" w:cs="Calibri"/>
        </w:rPr>
      </w:pPr>
      <w:r w:rsidRPr="00DE55E7">
        <w:rPr>
          <w:rFonts w:ascii="Calibri" w:hAnsi="Calibri" w:cs="Calibri"/>
        </w:rPr>
        <w:t xml:space="preserve">For Technical Assistance </w:t>
      </w:r>
      <w:r w:rsidR="007052F7">
        <w:rPr>
          <w:rFonts w:ascii="Calibri" w:hAnsi="Calibri" w:cs="Calibri"/>
        </w:rPr>
        <w:t xml:space="preserve">projects: collective donor sponsorship, where this is attained by the Regional EV </w:t>
      </w:r>
      <w:r w:rsidR="00EB462B">
        <w:rPr>
          <w:rFonts w:ascii="Calibri" w:hAnsi="Calibri" w:cs="Calibri"/>
        </w:rPr>
        <w:t>Coordination Hub</w:t>
      </w:r>
      <w:r w:rsidR="007052F7">
        <w:rPr>
          <w:rFonts w:ascii="Calibri" w:hAnsi="Calibri" w:cs="Calibri"/>
        </w:rPr>
        <w:t xml:space="preserve"> for specific projects;</w:t>
      </w:r>
    </w:p>
    <w:p w14:paraId="4C0EA4B2" w14:textId="77777777" w:rsidR="007052F7" w:rsidRDefault="00A41D11" w:rsidP="006131D6">
      <w:pPr>
        <w:pStyle w:val="ListParagraph"/>
        <w:numPr>
          <w:ilvl w:val="0"/>
          <w:numId w:val="12"/>
        </w:numPr>
        <w:spacing w:after="120" w:line="216" w:lineRule="auto"/>
        <w:rPr>
          <w:rFonts w:ascii="Calibri" w:hAnsi="Calibri" w:cs="Calibri"/>
        </w:rPr>
      </w:pPr>
      <w:r>
        <w:rPr>
          <w:rFonts w:ascii="Calibri" w:hAnsi="Calibri" w:cs="Calibri"/>
        </w:rPr>
        <w:t xml:space="preserve">For </w:t>
      </w:r>
      <w:r w:rsidR="00D179EC">
        <w:rPr>
          <w:rFonts w:ascii="Calibri" w:hAnsi="Calibri" w:cs="Calibri"/>
        </w:rPr>
        <w:t>“</w:t>
      </w:r>
      <w:r>
        <w:rPr>
          <w:rFonts w:ascii="Calibri" w:hAnsi="Calibri" w:cs="Calibri"/>
        </w:rPr>
        <w:t>c</w:t>
      </w:r>
      <w:r w:rsidR="007052F7">
        <w:rPr>
          <w:rFonts w:ascii="Calibri" w:hAnsi="Calibri" w:cs="Calibri"/>
        </w:rPr>
        <w:t>ontestable fund</w:t>
      </w:r>
      <w:r w:rsidR="00D179EC">
        <w:rPr>
          <w:rFonts w:ascii="Calibri" w:hAnsi="Calibri" w:cs="Calibri"/>
        </w:rPr>
        <w:t>”</w:t>
      </w:r>
      <w:r w:rsidR="007052F7">
        <w:rPr>
          <w:rFonts w:ascii="Calibri" w:hAnsi="Calibri" w:cs="Calibri"/>
        </w:rPr>
        <w:t xml:space="preserve"> projects</w:t>
      </w:r>
      <w:r w:rsidR="00D179EC">
        <w:rPr>
          <w:rFonts w:ascii="Calibri" w:hAnsi="Calibri" w:cs="Calibri"/>
        </w:rPr>
        <w:t xml:space="preserve"> (where rounds of proposals are called </w:t>
      </w:r>
      <w:r w:rsidR="003F7AE7">
        <w:rPr>
          <w:rFonts w:ascii="Calibri" w:hAnsi="Calibri" w:cs="Calibri"/>
        </w:rPr>
        <w:t xml:space="preserve">for </w:t>
      </w:r>
      <w:r w:rsidR="00D179EC">
        <w:rPr>
          <w:rFonts w:ascii="Calibri" w:hAnsi="Calibri" w:cs="Calibri"/>
        </w:rPr>
        <w:t xml:space="preserve">from the private sector for EV projects and partial funding of the proposed projects </w:t>
      </w:r>
      <w:r w:rsidR="003F7AE7">
        <w:rPr>
          <w:rFonts w:ascii="Calibri" w:hAnsi="Calibri" w:cs="Calibri"/>
        </w:rPr>
        <w:t xml:space="preserve">is </w:t>
      </w:r>
      <w:r w:rsidR="00D179EC">
        <w:rPr>
          <w:rFonts w:ascii="Calibri" w:hAnsi="Calibri" w:cs="Calibri"/>
        </w:rPr>
        <w:t xml:space="preserve">awarded to those projects that best meet the round’s objectives (for example, </w:t>
      </w:r>
      <w:r w:rsidR="006A5EDE">
        <w:rPr>
          <w:rFonts w:ascii="Calibri" w:hAnsi="Calibri" w:cs="Calibri"/>
        </w:rPr>
        <w:t xml:space="preserve">one of the objectives in a round might be </w:t>
      </w:r>
      <w:r w:rsidR="00D179EC">
        <w:rPr>
          <w:rFonts w:ascii="Calibri" w:hAnsi="Calibri" w:cs="Calibri"/>
        </w:rPr>
        <w:t>to provide public charging in</w:t>
      </w:r>
      <w:r>
        <w:rPr>
          <w:rFonts w:ascii="Calibri" w:hAnsi="Calibri" w:cs="Calibri"/>
        </w:rPr>
        <w:t xml:space="preserve"> critical areas</w:t>
      </w:r>
      <w:r w:rsidR="006A5EDE">
        <w:rPr>
          <w:rFonts w:ascii="Calibri" w:hAnsi="Calibri" w:cs="Calibri"/>
        </w:rPr>
        <w:t>)</w:t>
      </w:r>
      <w:r>
        <w:rPr>
          <w:rFonts w:ascii="Calibri" w:hAnsi="Calibri" w:cs="Calibri"/>
        </w:rPr>
        <w:t>)</w:t>
      </w:r>
      <w:r w:rsidR="007052F7">
        <w:rPr>
          <w:rFonts w:ascii="Calibri" w:hAnsi="Calibri" w:cs="Calibri"/>
        </w:rPr>
        <w:t xml:space="preserve">: </w:t>
      </w:r>
    </w:p>
    <w:p w14:paraId="68D128E3" w14:textId="77777777" w:rsidR="007052F7" w:rsidRDefault="007052F7" w:rsidP="006131D6">
      <w:pPr>
        <w:pStyle w:val="ListParagraph"/>
        <w:numPr>
          <w:ilvl w:val="1"/>
          <w:numId w:val="12"/>
        </w:numPr>
        <w:spacing w:after="120" w:line="216" w:lineRule="auto"/>
        <w:rPr>
          <w:rFonts w:ascii="Calibri" w:hAnsi="Calibri" w:cs="Calibri"/>
        </w:rPr>
      </w:pPr>
      <w:r>
        <w:rPr>
          <w:rFonts w:ascii="Calibri" w:hAnsi="Calibri" w:cs="Calibri"/>
        </w:rPr>
        <w:t>Private funding</w:t>
      </w:r>
      <w:r w:rsidR="006A5EDE">
        <w:rPr>
          <w:rFonts w:ascii="Calibri" w:hAnsi="Calibri" w:cs="Calibri"/>
        </w:rPr>
        <w:t xml:space="preserve"> from the private sector party proposing the work</w:t>
      </w:r>
      <w:r>
        <w:rPr>
          <w:rFonts w:ascii="Calibri" w:hAnsi="Calibri" w:cs="Calibri"/>
        </w:rPr>
        <w:t>;</w:t>
      </w:r>
    </w:p>
    <w:p w14:paraId="3B1A7FB5" w14:textId="7B66B9B1" w:rsidR="007052F7" w:rsidRDefault="007052F7" w:rsidP="006131D6">
      <w:pPr>
        <w:pStyle w:val="ListParagraph"/>
        <w:numPr>
          <w:ilvl w:val="1"/>
          <w:numId w:val="12"/>
        </w:numPr>
        <w:spacing w:after="120" w:line="216" w:lineRule="auto"/>
        <w:rPr>
          <w:rFonts w:ascii="Calibri" w:hAnsi="Calibri" w:cs="Calibri"/>
        </w:rPr>
      </w:pPr>
      <w:r>
        <w:rPr>
          <w:rFonts w:ascii="Calibri" w:hAnsi="Calibri" w:cs="Calibri"/>
        </w:rPr>
        <w:t xml:space="preserve">Supplementary funding provided by collective donor sponsorship, where this is attained by the Regional EV </w:t>
      </w:r>
      <w:r w:rsidR="00EB462B">
        <w:rPr>
          <w:rFonts w:ascii="Calibri" w:hAnsi="Calibri" w:cs="Calibri"/>
        </w:rPr>
        <w:t>Coordination Hub</w:t>
      </w:r>
      <w:r>
        <w:rPr>
          <w:rFonts w:ascii="Calibri" w:hAnsi="Calibri" w:cs="Calibri"/>
        </w:rPr>
        <w:t xml:space="preserve"> for specific contestable fund projects.</w:t>
      </w:r>
    </w:p>
    <w:p w14:paraId="02A2042C" w14:textId="77777777" w:rsidR="00D6535F" w:rsidRDefault="00D6535F" w:rsidP="006131D6">
      <w:pPr>
        <w:pStyle w:val="ListParagraph"/>
        <w:numPr>
          <w:ilvl w:val="0"/>
          <w:numId w:val="12"/>
        </w:numPr>
        <w:spacing w:after="120" w:line="216" w:lineRule="auto"/>
        <w:rPr>
          <w:rFonts w:ascii="Calibri" w:hAnsi="Calibri" w:cs="Calibri"/>
        </w:rPr>
      </w:pPr>
      <w:r>
        <w:rPr>
          <w:rFonts w:ascii="Calibri" w:hAnsi="Calibri" w:cs="Calibri"/>
        </w:rPr>
        <w:t>Privately or direct</w:t>
      </w:r>
      <w:r w:rsidR="003F7AE7">
        <w:rPr>
          <w:rFonts w:ascii="Calibri" w:hAnsi="Calibri" w:cs="Calibri"/>
        </w:rPr>
        <w:t>ly</w:t>
      </w:r>
      <w:r>
        <w:rPr>
          <w:rFonts w:ascii="Calibri" w:hAnsi="Calibri" w:cs="Calibri"/>
        </w:rPr>
        <w:t xml:space="preserve"> donor</w:t>
      </w:r>
      <w:r w:rsidR="003F7AE7">
        <w:rPr>
          <w:rFonts w:ascii="Calibri" w:hAnsi="Calibri" w:cs="Calibri"/>
        </w:rPr>
        <w:t>-</w:t>
      </w:r>
      <w:r>
        <w:rPr>
          <w:rFonts w:ascii="Calibri" w:hAnsi="Calibri" w:cs="Calibri"/>
        </w:rPr>
        <w:t xml:space="preserve">funded EV projects. </w:t>
      </w:r>
    </w:p>
    <w:p w14:paraId="2FC0181A" w14:textId="77777777" w:rsidR="005B15D4" w:rsidRDefault="00B954A5" w:rsidP="007052F7">
      <w:pPr>
        <w:spacing w:after="120" w:line="216" w:lineRule="auto"/>
        <w:rPr>
          <w:rFonts w:ascii="Calibri" w:hAnsi="Calibri" w:cs="Calibri"/>
        </w:rPr>
      </w:pPr>
      <w:r>
        <w:rPr>
          <w:rFonts w:ascii="Calibri" w:hAnsi="Calibri" w:cs="Calibri"/>
        </w:rPr>
        <w:lastRenderedPageBreak/>
        <w:t xml:space="preserve">Before launching the program, a minimum funding based needs to be secured. In this context traditional Pacific donors and PCREEE core partners (e.g. UNIDO, Austria, Norway) could be approached. </w:t>
      </w:r>
    </w:p>
    <w:p w14:paraId="1C86AF0E" w14:textId="6AA7504A" w:rsidR="00A41D11" w:rsidRDefault="00A41D11" w:rsidP="007052F7">
      <w:pPr>
        <w:spacing w:after="120" w:line="216" w:lineRule="auto"/>
        <w:rPr>
          <w:rFonts w:ascii="Calibri" w:hAnsi="Calibri" w:cs="Calibri"/>
        </w:rPr>
      </w:pPr>
      <w:r>
        <w:rPr>
          <w:rFonts w:ascii="Calibri" w:hAnsi="Calibri" w:cs="Calibri"/>
        </w:rPr>
        <w:t xml:space="preserve">Providing more background on the contestable fund proposal, the New Zealand Government has had good success running six rounds of a contestable fund over four years. This mechanism has provided supplementary funding for projects that would have otherwise </w:t>
      </w:r>
      <w:r w:rsidR="003F7AE7">
        <w:rPr>
          <w:rFonts w:ascii="Calibri" w:hAnsi="Calibri" w:cs="Calibri"/>
        </w:rPr>
        <w:t xml:space="preserve">been </w:t>
      </w:r>
      <w:r>
        <w:rPr>
          <w:rFonts w:ascii="Calibri" w:hAnsi="Calibri" w:cs="Calibri"/>
        </w:rPr>
        <w:t xml:space="preserve">unlikely </w:t>
      </w:r>
      <w:r w:rsidR="003F7AE7">
        <w:rPr>
          <w:rFonts w:ascii="Calibri" w:hAnsi="Calibri" w:cs="Calibri"/>
        </w:rPr>
        <w:t xml:space="preserve">to have </w:t>
      </w:r>
      <w:r>
        <w:rPr>
          <w:rFonts w:ascii="Calibri" w:hAnsi="Calibri" w:cs="Calibri"/>
        </w:rPr>
        <w:t xml:space="preserve">gone ahead due to their poor financials </w:t>
      </w:r>
      <w:r w:rsidR="006A5EDE">
        <w:rPr>
          <w:rFonts w:ascii="Calibri" w:hAnsi="Calibri" w:cs="Calibri"/>
        </w:rPr>
        <w:t>and/</w:t>
      </w:r>
      <w:r>
        <w:rPr>
          <w:rFonts w:ascii="Calibri" w:hAnsi="Calibri" w:cs="Calibri"/>
        </w:rPr>
        <w:t xml:space="preserve">or </w:t>
      </w:r>
      <w:r w:rsidR="003F7AE7">
        <w:rPr>
          <w:rFonts w:ascii="Calibri" w:hAnsi="Calibri" w:cs="Calibri"/>
        </w:rPr>
        <w:t xml:space="preserve">their </w:t>
      </w:r>
      <w:r>
        <w:rPr>
          <w:rFonts w:ascii="Calibri" w:hAnsi="Calibri" w:cs="Calibri"/>
        </w:rPr>
        <w:t xml:space="preserve">associated </w:t>
      </w:r>
      <w:r w:rsidR="003F7AE7">
        <w:rPr>
          <w:rFonts w:ascii="Calibri" w:hAnsi="Calibri" w:cs="Calibri"/>
        </w:rPr>
        <w:t>risks</w:t>
      </w:r>
      <w:r>
        <w:rPr>
          <w:rFonts w:ascii="Calibri" w:hAnsi="Calibri" w:cs="Calibri"/>
        </w:rPr>
        <w:t xml:space="preserve">. </w:t>
      </w:r>
      <w:r w:rsidR="006A5EDE">
        <w:rPr>
          <w:rFonts w:ascii="Calibri" w:hAnsi="Calibri" w:cs="Calibri"/>
        </w:rPr>
        <w:t>For New Zealand, t</w:t>
      </w:r>
      <w:r>
        <w:rPr>
          <w:rFonts w:ascii="Calibri" w:hAnsi="Calibri" w:cs="Calibri"/>
        </w:rPr>
        <w:t xml:space="preserve">he support of the partial sponsorship has resulted in early uptake of heavy vehicle EVs, EV taxis, new charging arrangements, and the introduction of charging infrastructure in remote but vital areas (where the frequency of use </w:t>
      </w:r>
      <w:r w:rsidR="006A5EDE">
        <w:rPr>
          <w:rFonts w:ascii="Calibri" w:hAnsi="Calibri" w:cs="Calibri"/>
        </w:rPr>
        <w:t xml:space="preserve">is not expected to provided </w:t>
      </w:r>
      <w:r w:rsidR="003F7AE7">
        <w:rPr>
          <w:rFonts w:ascii="Calibri" w:hAnsi="Calibri" w:cs="Calibri"/>
        </w:rPr>
        <w:t xml:space="preserve">commercial </w:t>
      </w:r>
      <w:r>
        <w:rPr>
          <w:rFonts w:ascii="Calibri" w:hAnsi="Calibri" w:cs="Calibri"/>
        </w:rPr>
        <w:t>returns</w:t>
      </w:r>
      <w:r w:rsidR="006A5EDE">
        <w:rPr>
          <w:rFonts w:ascii="Calibri" w:hAnsi="Calibri" w:cs="Calibri"/>
        </w:rPr>
        <w:t xml:space="preserve"> for several years</w:t>
      </w:r>
      <w:r>
        <w:rPr>
          <w:rFonts w:ascii="Calibri" w:hAnsi="Calibri" w:cs="Calibri"/>
        </w:rPr>
        <w:t>).</w:t>
      </w:r>
    </w:p>
    <w:p w14:paraId="75F65FDC" w14:textId="77777777" w:rsidR="0048674D" w:rsidRDefault="00947897" w:rsidP="007052F7">
      <w:pPr>
        <w:spacing w:after="120" w:line="216" w:lineRule="auto"/>
        <w:rPr>
          <w:rFonts w:ascii="Calibri" w:hAnsi="Calibri" w:cs="Calibri"/>
        </w:rPr>
      </w:pPr>
      <w:r>
        <w:rPr>
          <w:rFonts w:ascii="Calibri" w:hAnsi="Calibri" w:cs="Calibri"/>
        </w:rPr>
        <w:t>In order to provide certainty</w:t>
      </w:r>
      <w:r w:rsidR="00D6535F">
        <w:rPr>
          <w:rFonts w:ascii="Calibri" w:hAnsi="Calibri" w:cs="Calibri"/>
        </w:rPr>
        <w:t xml:space="preserve"> to begin the program</w:t>
      </w:r>
      <w:r>
        <w:rPr>
          <w:rFonts w:ascii="Calibri" w:hAnsi="Calibri" w:cs="Calibri"/>
        </w:rPr>
        <w:t>, the Regional E</w:t>
      </w:r>
      <w:r w:rsidR="00D6535F">
        <w:rPr>
          <w:rFonts w:ascii="Calibri" w:hAnsi="Calibri" w:cs="Calibri"/>
        </w:rPr>
        <w:t>V</w:t>
      </w:r>
      <w:r>
        <w:rPr>
          <w:rFonts w:ascii="Calibri" w:hAnsi="Calibri" w:cs="Calibri"/>
        </w:rPr>
        <w:t xml:space="preserve"> Program can depend on the level of funding attained </w:t>
      </w:r>
      <w:r w:rsidR="00A41D11">
        <w:rPr>
          <w:rFonts w:ascii="Calibri" w:hAnsi="Calibri" w:cs="Calibri"/>
        </w:rPr>
        <w:t xml:space="preserve">later </w:t>
      </w:r>
      <w:r>
        <w:rPr>
          <w:rFonts w:ascii="Calibri" w:hAnsi="Calibri" w:cs="Calibri"/>
        </w:rPr>
        <w:t xml:space="preserve">from </w:t>
      </w:r>
      <w:r w:rsidR="00D6535F">
        <w:rPr>
          <w:rFonts w:ascii="Calibri" w:hAnsi="Calibri" w:cs="Calibri"/>
        </w:rPr>
        <w:t xml:space="preserve">donor sponsorship. </w:t>
      </w:r>
      <w:r w:rsidR="00D179EC">
        <w:rPr>
          <w:rFonts w:ascii="Calibri" w:hAnsi="Calibri" w:cs="Calibri"/>
        </w:rPr>
        <w:t xml:space="preserve">The proposed </w:t>
      </w:r>
      <w:r w:rsidR="00D6535F">
        <w:rPr>
          <w:rFonts w:ascii="Calibri" w:hAnsi="Calibri" w:cs="Calibri"/>
        </w:rPr>
        <w:t xml:space="preserve">TAs are </w:t>
      </w:r>
      <w:r w:rsidR="00D179EC">
        <w:rPr>
          <w:rFonts w:ascii="Calibri" w:hAnsi="Calibri" w:cs="Calibri"/>
        </w:rPr>
        <w:t xml:space="preserve">therefore to be considered as </w:t>
      </w:r>
      <w:r w:rsidR="00D6535F">
        <w:rPr>
          <w:rFonts w:ascii="Calibri" w:hAnsi="Calibri" w:cs="Calibri"/>
        </w:rPr>
        <w:t>target</w:t>
      </w:r>
      <w:r w:rsidR="00D179EC">
        <w:rPr>
          <w:rFonts w:ascii="Calibri" w:hAnsi="Calibri" w:cs="Calibri"/>
        </w:rPr>
        <w:t xml:space="preserve"> projects that proceed only if funding is secured for them.</w:t>
      </w:r>
      <w:r w:rsidR="0048674D">
        <w:rPr>
          <w:rFonts w:ascii="Calibri" w:hAnsi="Calibri" w:cs="Calibri"/>
        </w:rPr>
        <w:t xml:space="preserve"> </w:t>
      </w:r>
      <w:r w:rsidR="00D179EC">
        <w:rPr>
          <w:rFonts w:ascii="Calibri" w:hAnsi="Calibri" w:cs="Calibri"/>
        </w:rPr>
        <w:t xml:space="preserve">Similarly, </w:t>
      </w:r>
      <w:r w:rsidR="0048674D">
        <w:rPr>
          <w:rFonts w:ascii="Calibri" w:hAnsi="Calibri" w:cs="Calibri"/>
        </w:rPr>
        <w:t>rounds of the contestable fund would only be undertaken if sponsorship was in place, and sponsored travel to regional EV events by various EV Working Group members would only occur if sponsorship was gained for this.</w:t>
      </w:r>
    </w:p>
    <w:p w14:paraId="38CDF220" w14:textId="77777777" w:rsidR="003D2ADC" w:rsidRDefault="003D2ADC" w:rsidP="007052F7">
      <w:pPr>
        <w:spacing w:after="120" w:line="216" w:lineRule="auto"/>
        <w:rPr>
          <w:rFonts w:ascii="Calibri" w:hAnsi="Calibri" w:cs="Calibri"/>
        </w:rPr>
      </w:pPr>
    </w:p>
    <w:p w14:paraId="07C87F79" w14:textId="77777777" w:rsidR="00FE0F6C" w:rsidRDefault="00AC3D1D" w:rsidP="00DE55E7">
      <w:pPr>
        <w:pStyle w:val="Heading2"/>
        <w:rPr>
          <w:rFonts w:asciiTheme="minorHAnsi" w:hAnsiTheme="minorHAnsi" w:cstheme="minorHAnsi"/>
          <w:b/>
          <w:bCs/>
          <w:color w:val="1F3864" w:themeColor="accent1" w:themeShade="80"/>
          <w:sz w:val="22"/>
          <w:szCs w:val="22"/>
        </w:rPr>
      </w:pPr>
      <w:bookmarkStart w:id="15" w:name="_Toc36839566"/>
      <w:r w:rsidRPr="00DE55E7">
        <w:rPr>
          <w:rFonts w:asciiTheme="minorHAnsi" w:hAnsiTheme="minorHAnsi" w:cstheme="minorHAnsi"/>
          <w:b/>
          <w:bCs/>
          <w:color w:val="1F3864" w:themeColor="accent1" w:themeShade="80"/>
          <w:sz w:val="22"/>
          <w:szCs w:val="22"/>
        </w:rPr>
        <w:t xml:space="preserve">Proposed </w:t>
      </w:r>
      <w:r w:rsidR="00BA53F6" w:rsidRPr="00DE55E7">
        <w:rPr>
          <w:rFonts w:asciiTheme="minorHAnsi" w:hAnsiTheme="minorHAnsi" w:cstheme="minorHAnsi"/>
          <w:b/>
          <w:bCs/>
          <w:color w:val="1F3864" w:themeColor="accent1" w:themeShade="80"/>
          <w:sz w:val="22"/>
          <w:szCs w:val="22"/>
        </w:rPr>
        <w:t xml:space="preserve">Regional </w:t>
      </w:r>
      <w:r w:rsidRPr="00DE55E7">
        <w:rPr>
          <w:rFonts w:asciiTheme="minorHAnsi" w:hAnsiTheme="minorHAnsi" w:cstheme="minorHAnsi"/>
          <w:b/>
          <w:bCs/>
          <w:color w:val="1F3864" w:themeColor="accent1" w:themeShade="80"/>
          <w:sz w:val="22"/>
          <w:szCs w:val="22"/>
        </w:rPr>
        <w:t>Electric Vehicle Program</w:t>
      </w:r>
      <w:r w:rsidR="00261734" w:rsidRPr="00DE55E7">
        <w:rPr>
          <w:rFonts w:asciiTheme="minorHAnsi" w:hAnsiTheme="minorHAnsi" w:cstheme="minorHAnsi"/>
          <w:b/>
          <w:bCs/>
          <w:color w:val="1F3864" w:themeColor="accent1" w:themeShade="80"/>
          <w:sz w:val="22"/>
          <w:szCs w:val="22"/>
        </w:rPr>
        <w:t xml:space="preserve"> Results Framework</w:t>
      </w:r>
      <w:bookmarkEnd w:id="15"/>
    </w:p>
    <w:p w14:paraId="31CF04DF" w14:textId="18E0E6ED" w:rsidR="006915AA" w:rsidRDefault="008F6323" w:rsidP="00CF1287">
      <w:pPr>
        <w:spacing w:before="120" w:after="120" w:line="216" w:lineRule="auto"/>
        <w:rPr>
          <w:rFonts w:ascii="Calibri" w:hAnsi="Calibri" w:cs="Calibri"/>
        </w:rPr>
      </w:pPr>
      <w:r>
        <w:rPr>
          <w:rFonts w:ascii="Calibri" w:hAnsi="Calibri" w:cs="Calibri"/>
        </w:rPr>
        <w:t xml:space="preserve">This section pulls together the findings of the technical </w:t>
      </w:r>
      <w:r w:rsidR="00EF2505">
        <w:rPr>
          <w:rFonts w:ascii="Calibri" w:hAnsi="Calibri" w:cs="Calibri"/>
        </w:rPr>
        <w:t>background report</w:t>
      </w:r>
      <w:r>
        <w:rPr>
          <w:rFonts w:ascii="Calibri" w:hAnsi="Calibri" w:cs="Calibri"/>
        </w:rPr>
        <w:t xml:space="preserve">, the findings of the policy </w:t>
      </w:r>
      <w:r w:rsidR="00F41869">
        <w:rPr>
          <w:rFonts w:ascii="Calibri" w:hAnsi="Calibri" w:cs="Calibri"/>
        </w:rPr>
        <w:t xml:space="preserve">action </w:t>
      </w:r>
      <w:r>
        <w:rPr>
          <w:rFonts w:ascii="Calibri" w:hAnsi="Calibri" w:cs="Calibri"/>
        </w:rPr>
        <w:t xml:space="preserve">work (Stage 2 of the project), and </w:t>
      </w:r>
      <w:r w:rsidR="00F41869">
        <w:rPr>
          <w:rFonts w:ascii="Calibri" w:hAnsi="Calibri" w:cs="Calibri"/>
        </w:rPr>
        <w:t xml:space="preserve">proposed stakeholder and administrative structures (Sections </w:t>
      </w:r>
      <w:r w:rsidR="00F41869" w:rsidRPr="00FA456C">
        <w:rPr>
          <w:rFonts w:ascii="Calibri" w:hAnsi="Calibri" w:cs="Calibri"/>
        </w:rPr>
        <w:t>5.1 through 5.3 of this report)</w:t>
      </w:r>
      <w:r w:rsidR="00F41869">
        <w:rPr>
          <w:rFonts w:ascii="Calibri" w:hAnsi="Calibri" w:cs="Calibri"/>
        </w:rPr>
        <w:t xml:space="preserve"> to develop and present a results framework for the proposed Regional EV Program</w:t>
      </w:r>
      <w:r w:rsidR="00E6204B">
        <w:rPr>
          <w:rFonts w:ascii="Calibri" w:hAnsi="Calibri" w:cs="Calibri"/>
        </w:rPr>
        <w:t xml:space="preserve">. </w:t>
      </w:r>
      <w:r w:rsidR="006915AA">
        <w:rPr>
          <w:rFonts w:ascii="Calibri" w:hAnsi="Calibri" w:cs="Calibri"/>
        </w:rPr>
        <w:t>In keeping with th</w:t>
      </w:r>
      <w:r w:rsidR="006A5EDE">
        <w:rPr>
          <w:rFonts w:ascii="Calibri" w:hAnsi="Calibri" w:cs="Calibri"/>
        </w:rPr>
        <w:t xml:space="preserve">is project’s </w:t>
      </w:r>
      <w:r w:rsidR="006915AA">
        <w:rPr>
          <w:rFonts w:ascii="Calibri" w:hAnsi="Calibri" w:cs="Calibri"/>
        </w:rPr>
        <w:t xml:space="preserve">TOR requirements, this was developed for </w:t>
      </w:r>
      <w:r w:rsidR="00AC3D1D" w:rsidRPr="00D963C6">
        <w:rPr>
          <w:rFonts w:ascii="Calibri" w:hAnsi="Calibri" w:cs="Calibri"/>
        </w:rPr>
        <w:t xml:space="preserve">a five-year timeframe. </w:t>
      </w:r>
    </w:p>
    <w:p w14:paraId="6DFAB687" w14:textId="77777777" w:rsidR="00AC3D1D" w:rsidRDefault="003F7AE7" w:rsidP="00FF7D24">
      <w:pPr>
        <w:spacing w:after="0" w:line="216" w:lineRule="auto"/>
        <w:rPr>
          <w:rFonts w:ascii="Calibri" w:hAnsi="Calibri" w:cs="Calibri"/>
        </w:rPr>
      </w:pPr>
      <w:r>
        <w:rPr>
          <w:rFonts w:ascii="Calibri" w:hAnsi="Calibri" w:cs="Calibri"/>
        </w:rPr>
        <w:t>At a more detailed level, t</w:t>
      </w:r>
      <w:r w:rsidR="00AC3D1D" w:rsidRPr="00D963C6">
        <w:rPr>
          <w:rFonts w:ascii="Calibri" w:hAnsi="Calibri" w:cs="Calibri"/>
        </w:rPr>
        <w:t xml:space="preserve">his </w:t>
      </w:r>
      <w:r w:rsidR="00775D26">
        <w:rPr>
          <w:rFonts w:ascii="Calibri" w:hAnsi="Calibri" w:cs="Calibri"/>
        </w:rPr>
        <w:t xml:space="preserve">results framework </w:t>
      </w:r>
      <w:r w:rsidR="00AC3D1D" w:rsidRPr="00D963C6">
        <w:rPr>
          <w:rFonts w:ascii="Calibri" w:hAnsi="Calibri" w:cs="Calibri"/>
        </w:rPr>
        <w:t xml:space="preserve">was </w:t>
      </w:r>
      <w:r>
        <w:rPr>
          <w:rFonts w:ascii="Calibri" w:hAnsi="Calibri" w:cs="Calibri"/>
        </w:rPr>
        <w:t>developed as follows</w:t>
      </w:r>
      <w:r w:rsidR="00AC3D1D" w:rsidRPr="00D963C6">
        <w:rPr>
          <w:rFonts w:ascii="Calibri" w:hAnsi="Calibri" w:cs="Calibri"/>
        </w:rPr>
        <w:t>:</w:t>
      </w:r>
    </w:p>
    <w:p w14:paraId="4FCE8845" w14:textId="77777777" w:rsidR="003D2ADC" w:rsidRPr="00D963C6" w:rsidRDefault="003D2ADC" w:rsidP="00FF7D24">
      <w:pPr>
        <w:spacing w:after="0" w:line="216" w:lineRule="auto"/>
        <w:rPr>
          <w:rFonts w:ascii="Calibri" w:hAnsi="Calibri" w:cs="Calibri"/>
        </w:rPr>
      </w:pPr>
    </w:p>
    <w:p w14:paraId="463938E0" w14:textId="1A65AB94" w:rsidR="00E6204B" w:rsidRPr="0011151B" w:rsidRDefault="00E6204B" w:rsidP="006131D6">
      <w:pPr>
        <w:pStyle w:val="ListParagraph"/>
        <w:numPr>
          <w:ilvl w:val="0"/>
          <w:numId w:val="10"/>
        </w:numPr>
        <w:spacing w:after="120" w:line="216" w:lineRule="auto"/>
        <w:rPr>
          <w:rFonts w:ascii="Calibri" w:hAnsi="Calibri" w:cs="Calibri"/>
        </w:rPr>
      </w:pPr>
      <w:r>
        <w:rPr>
          <w:rFonts w:ascii="Calibri" w:hAnsi="Calibri" w:cs="Calibri"/>
        </w:rPr>
        <w:t xml:space="preserve">The EV Program encompassed those </w:t>
      </w:r>
      <w:r w:rsidR="006915AA">
        <w:rPr>
          <w:rFonts w:ascii="Calibri" w:hAnsi="Calibri" w:cs="Calibri"/>
        </w:rPr>
        <w:t xml:space="preserve">EV-related </w:t>
      </w:r>
      <w:r>
        <w:rPr>
          <w:rFonts w:ascii="Calibri" w:hAnsi="Calibri" w:cs="Calibri"/>
        </w:rPr>
        <w:t xml:space="preserve">activities to be carried out directly by the proposed Regional EV </w:t>
      </w:r>
      <w:r w:rsidR="00EB462B">
        <w:rPr>
          <w:rFonts w:ascii="Calibri" w:hAnsi="Calibri" w:cs="Calibri"/>
        </w:rPr>
        <w:t>Coordination Hub</w:t>
      </w:r>
      <w:r w:rsidR="00EF2505">
        <w:rPr>
          <w:rFonts w:ascii="Calibri" w:hAnsi="Calibri" w:cs="Calibri"/>
        </w:rPr>
        <w:t xml:space="preserve"> </w:t>
      </w:r>
      <w:r>
        <w:rPr>
          <w:rFonts w:ascii="Calibri" w:hAnsi="Calibri" w:cs="Calibri"/>
        </w:rPr>
        <w:t>and those that may be managed or directed by</w:t>
      </w:r>
      <w:r w:rsidR="00EF2505">
        <w:rPr>
          <w:rFonts w:ascii="Calibri" w:hAnsi="Calibri" w:cs="Calibri"/>
        </w:rPr>
        <w:t xml:space="preserve"> a particular member of</w:t>
      </w:r>
      <w:r>
        <w:rPr>
          <w:rFonts w:ascii="Calibri" w:hAnsi="Calibri" w:cs="Calibri"/>
        </w:rPr>
        <w:t xml:space="preserve"> the Regional EV </w:t>
      </w:r>
      <w:r w:rsidR="00823BC6">
        <w:rPr>
          <w:rFonts w:ascii="Calibri" w:hAnsi="Calibri" w:cs="Calibri"/>
        </w:rPr>
        <w:t>Working Group</w:t>
      </w:r>
      <w:r w:rsidR="006915AA">
        <w:rPr>
          <w:rFonts w:ascii="Calibri" w:hAnsi="Calibri" w:cs="Calibri"/>
        </w:rPr>
        <w:t xml:space="preserve"> (</w:t>
      </w:r>
      <w:r w:rsidR="0066650C">
        <w:rPr>
          <w:rFonts w:ascii="Calibri" w:hAnsi="Calibri" w:cs="Calibri"/>
        </w:rPr>
        <w:t xml:space="preserve">e.g. the latter might be a </w:t>
      </w:r>
      <w:r>
        <w:rPr>
          <w:rFonts w:ascii="Calibri" w:hAnsi="Calibri" w:cs="Calibri"/>
        </w:rPr>
        <w:t xml:space="preserve">donor-sponsored Technical Assistance (TA) project (a list of which is provided in Table </w:t>
      </w:r>
      <w:r w:rsidR="002E44DD">
        <w:rPr>
          <w:rFonts w:ascii="Calibri" w:hAnsi="Calibri" w:cs="Calibri"/>
        </w:rPr>
        <w:t>3</w:t>
      </w:r>
      <w:r>
        <w:rPr>
          <w:rFonts w:ascii="Calibri" w:hAnsi="Calibri" w:cs="Calibri"/>
        </w:rPr>
        <w:t>)</w:t>
      </w:r>
      <w:r w:rsidR="006915AA">
        <w:rPr>
          <w:rFonts w:ascii="Calibri" w:hAnsi="Calibri" w:cs="Calibri"/>
        </w:rPr>
        <w:t>)</w:t>
      </w:r>
      <w:r>
        <w:rPr>
          <w:rFonts w:ascii="Calibri" w:hAnsi="Calibri" w:cs="Calibri"/>
        </w:rPr>
        <w:t>;</w:t>
      </w:r>
    </w:p>
    <w:p w14:paraId="1C47CF81" w14:textId="77777777" w:rsidR="006915AA" w:rsidRDefault="003F7AE7" w:rsidP="006131D6">
      <w:pPr>
        <w:pStyle w:val="ListParagraph"/>
        <w:numPr>
          <w:ilvl w:val="0"/>
          <w:numId w:val="10"/>
        </w:numPr>
        <w:spacing w:after="120" w:line="216" w:lineRule="auto"/>
        <w:rPr>
          <w:rFonts w:ascii="Calibri" w:hAnsi="Calibri" w:cs="Calibri"/>
        </w:rPr>
      </w:pPr>
      <w:r>
        <w:rPr>
          <w:rFonts w:ascii="Calibri" w:hAnsi="Calibri" w:cs="Calibri"/>
        </w:rPr>
        <w:t>Further to this</w:t>
      </w:r>
      <w:r w:rsidR="006915AA">
        <w:rPr>
          <w:rFonts w:ascii="Calibri" w:hAnsi="Calibri" w:cs="Calibri"/>
        </w:rPr>
        <w:t>, the target outcomes presented were both those of the Regional EV Coordination Working Group</w:t>
      </w:r>
      <w:r w:rsidR="00823BC6">
        <w:rPr>
          <w:rFonts w:ascii="Calibri" w:hAnsi="Calibri" w:cs="Calibri"/>
        </w:rPr>
        <w:t xml:space="preserve"> (i.e., including those with PICT Representative involvement)</w:t>
      </w:r>
      <w:r w:rsidR="006915AA">
        <w:rPr>
          <w:rFonts w:ascii="Calibri" w:hAnsi="Calibri" w:cs="Calibri"/>
        </w:rPr>
        <w:t xml:space="preserve"> and those of the Regional EV Program as a whole</w:t>
      </w:r>
      <w:r w:rsidR="00823BC6">
        <w:rPr>
          <w:rFonts w:ascii="Calibri" w:hAnsi="Calibri" w:cs="Calibri"/>
        </w:rPr>
        <w:t xml:space="preserve"> (i.e., those including TA projects and others)</w:t>
      </w:r>
      <w:r w:rsidR="006915AA">
        <w:rPr>
          <w:rFonts w:ascii="Calibri" w:hAnsi="Calibri" w:cs="Calibri"/>
        </w:rPr>
        <w:t>;</w:t>
      </w:r>
    </w:p>
    <w:p w14:paraId="09F05172" w14:textId="352D8437" w:rsidR="00775D26" w:rsidRDefault="00D963C6" w:rsidP="006131D6">
      <w:pPr>
        <w:pStyle w:val="ListParagraph"/>
        <w:numPr>
          <w:ilvl w:val="0"/>
          <w:numId w:val="10"/>
        </w:numPr>
        <w:spacing w:after="120" w:line="216" w:lineRule="auto"/>
        <w:rPr>
          <w:rFonts w:ascii="Calibri" w:hAnsi="Calibri" w:cs="Calibri"/>
        </w:rPr>
      </w:pPr>
      <w:r>
        <w:rPr>
          <w:rFonts w:ascii="Calibri" w:hAnsi="Calibri" w:cs="Calibri"/>
        </w:rPr>
        <w:t>Timeframe</w:t>
      </w:r>
      <w:r w:rsidR="00775D26">
        <w:rPr>
          <w:rFonts w:ascii="Calibri" w:hAnsi="Calibri" w:cs="Calibri"/>
        </w:rPr>
        <w:t>s</w:t>
      </w:r>
      <w:r w:rsidR="00E6204B">
        <w:rPr>
          <w:rFonts w:ascii="Calibri" w:hAnsi="Calibri" w:cs="Calibri"/>
        </w:rPr>
        <w:t xml:space="preserve"> for the various EV-related activities</w:t>
      </w:r>
      <w:r>
        <w:rPr>
          <w:rFonts w:ascii="Calibri" w:hAnsi="Calibri" w:cs="Calibri"/>
        </w:rPr>
        <w:t xml:space="preserve"> were chosen according to </w:t>
      </w:r>
      <w:r w:rsidR="00775D26">
        <w:rPr>
          <w:rFonts w:ascii="Calibri" w:hAnsi="Calibri" w:cs="Calibri"/>
        </w:rPr>
        <w:t>our</w:t>
      </w:r>
      <w:r>
        <w:rPr>
          <w:rFonts w:ascii="Calibri" w:hAnsi="Calibri" w:cs="Calibri"/>
        </w:rPr>
        <w:t xml:space="preserve"> </w:t>
      </w:r>
      <w:r w:rsidR="003F7AE7">
        <w:rPr>
          <w:rFonts w:ascii="Calibri" w:hAnsi="Calibri" w:cs="Calibri"/>
        </w:rPr>
        <w:t xml:space="preserve">assessment of the </w:t>
      </w:r>
      <w:r>
        <w:rPr>
          <w:rFonts w:ascii="Calibri" w:hAnsi="Calibri" w:cs="Calibri"/>
        </w:rPr>
        <w:t xml:space="preserve">priority </w:t>
      </w:r>
      <w:r w:rsidR="003F7AE7">
        <w:rPr>
          <w:rFonts w:ascii="Calibri" w:hAnsi="Calibri" w:cs="Calibri"/>
        </w:rPr>
        <w:t xml:space="preserve">of </w:t>
      </w:r>
      <w:r w:rsidR="00775D26">
        <w:rPr>
          <w:rFonts w:ascii="Calibri" w:hAnsi="Calibri" w:cs="Calibri"/>
        </w:rPr>
        <w:t>the activity</w:t>
      </w:r>
      <w:r w:rsidR="00E6204B">
        <w:rPr>
          <w:rFonts w:ascii="Calibri" w:hAnsi="Calibri" w:cs="Calibri"/>
        </w:rPr>
        <w:t>,</w:t>
      </w:r>
      <w:r w:rsidR="00775D26">
        <w:rPr>
          <w:rFonts w:ascii="Calibri" w:hAnsi="Calibri" w:cs="Calibri"/>
        </w:rPr>
        <w:t xml:space="preserve"> which also took into consideration the maturity of the technology involved</w:t>
      </w:r>
      <w:r w:rsidR="006915AA">
        <w:rPr>
          <w:rFonts w:ascii="Calibri" w:hAnsi="Calibri" w:cs="Calibri"/>
        </w:rPr>
        <w:t xml:space="preserve"> (i.e., </w:t>
      </w:r>
      <w:r w:rsidR="00E6204B">
        <w:rPr>
          <w:rFonts w:ascii="Calibri" w:hAnsi="Calibri" w:cs="Calibri"/>
        </w:rPr>
        <w:t xml:space="preserve">when </w:t>
      </w:r>
      <w:r w:rsidR="006915AA">
        <w:rPr>
          <w:rFonts w:ascii="Calibri" w:hAnsi="Calibri" w:cs="Calibri"/>
        </w:rPr>
        <w:t xml:space="preserve">the technology involved </w:t>
      </w:r>
      <w:r w:rsidR="00E6204B">
        <w:rPr>
          <w:rFonts w:ascii="Calibri" w:hAnsi="Calibri" w:cs="Calibri"/>
        </w:rPr>
        <w:t>was likely to become “mainstreamed”</w:t>
      </w:r>
      <w:r w:rsidR="00823BC6">
        <w:rPr>
          <w:rFonts w:ascii="Calibri" w:hAnsi="Calibri" w:cs="Calibri"/>
        </w:rPr>
        <w:t>,</w:t>
      </w:r>
      <w:r w:rsidR="006915AA">
        <w:rPr>
          <w:rFonts w:ascii="Calibri" w:hAnsi="Calibri" w:cs="Calibri"/>
        </w:rPr>
        <w:t xml:space="preserve"> or</w:t>
      </w:r>
      <w:r w:rsidR="00823BC6">
        <w:rPr>
          <w:rFonts w:ascii="Calibri" w:hAnsi="Calibri" w:cs="Calibri"/>
        </w:rPr>
        <w:t xml:space="preserve"> at least </w:t>
      </w:r>
      <w:r w:rsidR="006915AA">
        <w:rPr>
          <w:rFonts w:ascii="Calibri" w:hAnsi="Calibri" w:cs="Calibri"/>
        </w:rPr>
        <w:t xml:space="preserve">required exposure in the </w:t>
      </w:r>
      <w:r w:rsidR="00E71085">
        <w:rPr>
          <w:rFonts w:ascii="Calibri" w:hAnsi="Calibri" w:cs="Calibri"/>
        </w:rPr>
        <w:t xml:space="preserve">local </w:t>
      </w:r>
      <w:r w:rsidR="006915AA">
        <w:rPr>
          <w:rFonts w:ascii="Calibri" w:hAnsi="Calibri" w:cs="Calibri"/>
        </w:rPr>
        <w:t>marketplace)</w:t>
      </w:r>
      <w:r w:rsidR="00775D26">
        <w:rPr>
          <w:rFonts w:ascii="Calibri" w:hAnsi="Calibri" w:cs="Calibri"/>
        </w:rPr>
        <w:t>;</w:t>
      </w:r>
    </w:p>
    <w:p w14:paraId="63714420" w14:textId="2BE2CB5D" w:rsidR="009724F2" w:rsidRDefault="009724F2" w:rsidP="006131D6">
      <w:pPr>
        <w:pStyle w:val="ListParagraph"/>
        <w:numPr>
          <w:ilvl w:val="0"/>
          <w:numId w:val="10"/>
        </w:numPr>
        <w:spacing w:after="120" w:line="216" w:lineRule="auto"/>
        <w:rPr>
          <w:rFonts w:ascii="Calibri" w:hAnsi="Calibri" w:cs="Calibri"/>
        </w:rPr>
      </w:pPr>
      <w:r>
        <w:rPr>
          <w:rFonts w:ascii="Calibri" w:hAnsi="Calibri" w:cs="Calibri"/>
        </w:rPr>
        <w:t xml:space="preserve">There is an expectation that various agencies within </w:t>
      </w:r>
      <w:r w:rsidR="00E71085">
        <w:rPr>
          <w:rFonts w:ascii="Calibri" w:hAnsi="Calibri" w:cs="Calibri"/>
        </w:rPr>
        <w:t xml:space="preserve">national </w:t>
      </w:r>
      <w:r>
        <w:rPr>
          <w:rFonts w:ascii="Calibri" w:hAnsi="Calibri" w:cs="Calibri"/>
        </w:rPr>
        <w:t xml:space="preserve">governments will provide </w:t>
      </w:r>
      <w:r w:rsidR="006915AA">
        <w:rPr>
          <w:rFonts w:ascii="Calibri" w:hAnsi="Calibri" w:cs="Calibri"/>
        </w:rPr>
        <w:t xml:space="preserve">some basic level of staffing </w:t>
      </w:r>
      <w:r>
        <w:rPr>
          <w:rFonts w:ascii="Calibri" w:hAnsi="Calibri" w:cs="Calibri"/>
        </w:rPr>
        <w:t>assistance to the EV Program</w:t>
      </w:r>
      <w:r w:rsidR="006915AA">
        <w:rPr>
          <w:rFonts w:ascii="Calibri" w:hAnsi="Calibri" w:cs="Calibri"/>
        </w:rPr>
        <w:t>;</w:t>
      </w:r>
    </w:p>
    <w:p w14:paraId="30FAB3DE" w14:textId="49740F87" w:rsidR="00373F70" w:rsidRPr="00CF1287" w:rsidRDefault="00373F70" w:rsidP="00CF1287">
      <w:pPr>
        <w:pStyle w:val="ListParagraph"/>
        <w:numPr>
          <w:ilvl w:val="0"/>
          <w:numId w:val="10"/>
        </w:numPr>
        <w:spacing w:after="120" w:line="216" w:lineRule="auto"/>
        <w:rPr>
          <w:rFonts w:ascii="Calibri" w:hAnsi="Calibri" w:cs="Calibri"/>
        </w:rPr>
      </w:pPr>
      <w:r>
        <w:rPr>
          <w:rFonts w:ascii="Calibri" w:hAnsi="Calibri" w:cs="Calibri"/>
        </w:rPr>
        <w:t xml:space="preserve">An office assistant has been added to the four </w:t>
      </w:r>
      <w:r w:rsidR="0066650C">
        <w:rPr>
          <w:rFonts w:ascii="Calibri" w:hAnsi="Calibri" w:cs="Calibri"/>
        </w:rPr>
        <w:t>before mentioned</w:t>
      </w:r>
      <w:r>
        <w:rPr>
          <w:rFonts w:ascii="Calibri" w:hAnsi="Calibri" w:cs="Calibri"/>
        </w:rPr>
        <w:t xml:space="preserve"> desks of Central Policy and Administration; Standards and Guidelines; Information and Awareness; and Demonstration and Upscale. </w:t>
      </w:r>
      <w:r w:rsidR="009A6F5A" w:rsidRPr="00CF1287">
        <w:rPr>
          <w:rFonts w:ascii="Calibri" w:hAnsi="Calibri" w:cs="Calibri"/>
        </w:rPr>
        <w:br w:type="page"/>
      </w:r>
    </w:p>
    <w:tbl>
      <w:tblPr>
        <w:tblW w:w="8642" w:type="dxa"/>
        <w:jc w:val="center"/>
        <w:tblLayout w:type="fixed"/>
        <w:tblLook w:val="04A0" w:firstRow="1" w:lastRow="0" w:firstColumn="1" w:lastColumn="0" w:noHBand="0" w:noVBand="1"/>
      </w:tblPr>
      <w:tblGrid>
        <w:gridCol w:w="738"/>
        <w:gridCol w:w="5494"/>
        <w:gridCol w:w="1276"/>
        <w:gridCol w:w="1134"/>
      </w:tblGrid>
      <w:tr w:rsidR="0011151B" w:rsidRPr="00BA53F6" w14:paraId="2415ECE8" w14:textId="77777777" w:rsidTr="00FF7D24">
        <w:trPr>
          <w:trHeight w:val="580"/>
          <w:jc w:val="center"/>
        </w:trPr>
        <w:tc>
          <w:tcPr>
            <w:tcW w:w="738" w:type="dxa"/>
            <w:tcBorders>
              <w:top w:val="single" w:sz="4" w:space="0" w:color="auto"/>
              <w:left w:val="single" w:sz="4" w:space="0" w:color="auto"/>
              <w:bottom w:val="single" w:sz="4" w:space="0" w:color="auto"/>
              <w:right w:val="single" w:sz="4" w:space="0" w:color="auto"/>
            </w:tcBorders>
            <w:shd w:val="clear" w:color="000000" w:fill="203764"/>
            <w:vAlign w:val="center"/>
            <w:hideMark/>
          </w:tcPr>
          <w:p w14:paraId="470CEF94" w14:textId="44D444A8" w:rsidR="0011151B" w:rsidRPr="00BA53F6" w:rsidRDefault="0011151B" w:rsidP="0011151B">
            <w:pPr>
              <w:spacing w:after="0" w:line="240" w:lineRule="auto"/>
              <w:jc w:val="center"/>
              <w:rPr>
                <w:rFonts w:ascii="Calibri" w:eastAsia="Times New Roman" w:hAnsi="Calibri" w:cs="Calibri"/>
                <w:b/>
                <w:bCs/>
                <w:color w:val="FFFFFF"/>
                <w:sz w:val="20"/>
                <w:szCs w:val="20"/>
                <w:lang w:eastAsia="en-NZ"/>
              </w:rPr>
            </w:pPr>
            <w:r w:rsidRPr="00BA53F6">
              <w:rPr>
                <w:rFonts w:ascii="Calibri" w:eastAsia="Times New Roman" w:hAnsi="Calibri" w:cs="Calibri"/>
                <w:b/>
                <w:bCs/>
                <w:color w:val="FFFFFF"/>
                <w:sz w:val="20"/>
                <w:szCs w:val="20"/>
                <w:lang w:eastAsia="en-NZ"/>
              </w:rPr>
              <w:lastRenderedPageBreak/>
              <w:t>Fund Type</w:t>
            </w:r>
          </w:p>
        </w:tc>
        <w:tc>
          <w:tcPr>
            <w:tcW w:w="5494" w:type="dxa"/>
            <w:tcBorders>
              <w:top w:val="single" w:sz="4" w:space="0" w:color="auto"/>
              <w:left w:val="nil"/>
              <w:bottom w:val="single" w:sz="4" w:space="0" w:color="auto"/>
              <w:right w:val="single" w:sz="4" w:space="0" w:color="auto"/>
            </w:tcBorders>
            <w:shd w:val="clear" w:color="000000" w:fill="203764"/>
            <w:vAlign w:val="center"/>
            <w:hideMark/>
          </w:tcPr>
          <w:p w14:paraId="564FE219" w14:textId="77777777" w:rsidR="0011151B" w:rsidRPr="00BA53F6" w:rsidRDefault="0011151B" w:rsidP="0011151B">
            <w:pPr>
              <w:spacing w:after="0" w:line="240" w:lineRule="auto"/>
              <w:jc w:val="center"/>
              <w:rPr>
                <w:rFonts w:ascii="Calibri" w:eastAsia="Times New Roman" w:hAnsi="Calibri" w:cs="Calibri"/>
                <w:b/>
                <w:bCs/>
                <w:color w:val="FFFFFF"/>
                <w:sz w:val="20"/>
                <w:szCs w:val="20"/>
                <w:lang w:eastAsia="en-NZ"/>
              </w:rPr>
            </w:pPr>
            <w:r w:rsidRPr="00BA53F6">
              <w:rPr>
                <w:rFonts w:ascii="Calibri" w:eastAsia="Times New Roman" w:hAnsi="Calibri" w:cs="Calibri"/>
                <w:b/>
                <w:bCs/>
                <w:color w:val="FFFFFF"/>
                <w:sz w:val="20"/>
                <w:szCs w:val="20"/>
                <w:lang w:eastAsia="en-NZ"/>
              </w:rPr>
              <w:t>Activity</w:t>
            </w:r>
          </w:p>
        </w:tc>
        <w:tc>
          <w:tcPr>
            <w:tcW w:w="1276" w:type="dxa"/>
            <w:tcBorders>
              <w:top w:val="single" w:sz="4" w:space="0" w:color="auto"/>
              <w:left w:val="nil"/>
              <w:bottom w:val="single" w:sz="4" w:space="0" w:color="auto"/>
              <w:right w:val="single" w:sz="4" w:space="0" w:color="auto"/>
            </w:tcBorders>
            <w:shd w:val="clear" w:color="000000" w:fill="203764"/>
            <w:vAlign w:val="center"/>
            <w:hideMark/>
          </w:tcPr>
          <w:p w14:paraId="51A1B10C" w14:textId="77777777" w:rsidR="0011151B" w:rsidRPr="00BA53F6" w:rsidRDefault="0011151B" w:rsidP="0011151B">
            <w:pPr>
              <w:spacing w:after="0" w:line="240" w:lineRule="auto"/>
              <w:jc w:val="center"/>
              <w:rPr>
                <w:rFonts w:ascii="Calibri" w:eastAsia="Times New Roman" w:hAnsi="Calibri" w:cs="Calibri"/>
                <w:b/>
                <w:bCs/>
                <w:color w:val="FFFFFF"/>
                <w:sz w:val="20"/>
                <w:szCs w:val="20"/>
                <w:lang w:eastAsia="en-NZ"/>
              </w:rPr>
            </w:pPr>
            <w:r w:rsidRPr="00BA53F6">
              <w:rPr>
                <w:rFonts w:ascii="Calibri" w:eastAsia="Times New Roman" w:hAnsi="Calibri" w:cs="Calibri"/>
                <w:b/>
                <w:bCs/>
                <w:color w:val="FFFFFF"/>
                <w:sz w:val="20"/>
                <w:szCs w:val="20"/>
                <w:lang w:eastAsia="en-NZ"/>
              </w:rPr>
              <w:t>Amount US$</w:t>
            </w:r>
          </w:p>
        </w:tc>
        <w:tc>
          <w:tcPr>
            <w:tcW w:w="1134" w:type="dxa"/>
            <w:tcBorders>
              <w:top w:val="single" w:sz="4" w:space="0" w:color="auto"/>
              <w:left w:val="nil"/>
              <w:bottom w:val="single" w:sz="4" w:space="0" w:color="auto"/>
              <w:right w:val="single" w:sz="4" w:space="0" w:color="auto"/>
            </w:tcBorders>
            <w:shd w:val="clear" w:color="000000" w:fill="203764"/>
            <w:vAlign w:val="center"/>
            <w:hideMark/>
          </w:tcPr>
          <w:p w14:paraId="4311FCA4" w14:textId="77777777" w:rsidR="0011151B" w:rsidRPr="00BA53F6" w:rsidRDefault="0011151B" w:rsidP="0011151B">
            <w:pPr>
              <w:spacing w:after="0" w:line="240" w:lineRule="auto"/>
              <w:jc w:val="center"/>
              <w:rPr>
                <w:rFonts w:ascii="Calibri" w:eastAsia="Times New Roman" w:hAnsi="Calibri" w:cs="Calibri"/>
                <w:b/>
                <w:bCs/>
                <w:color w:val="FFFFFF"/>
                <w:sz w:val="20"/>
                <w:szCs w:val="20"/>
                <w:lang w:eastAsia="en-NZ"/>
              </w:rPr>
            </w:pPr>
            <w:r w:rsidRPr="00BA53F6">
              <w:rPr>
                <w:rFonts w:ascii="Calibri" w:eastAsia="Times New Roman" w:hAnsi="Calibri" w:cs="Calibri"/>
                <w:b/>
                <w:bCs/>
                <w:color w:val="FFFFFF"/>
                <w:sz w:val="20"/>
                <w:szCs w:val="20"/>
                <w:lang w:eastAsia="en-NZ"/>
              </w:rPr>
              <w:t>Year Deployed</w:t>
            </w:r>
          </w:p>
        </w:tc>
      </w:tr>
      <w:tr w:rsidR="0011151B" w:rsidRPr="00BA53F6" w14:paraId="3C6F9F78" w14:textId="77777777" w:rsidTr="00FF7D24">
        <w:trPr>
          <w:trHeight w:val="290"/>
          <w:jc w:val="center"/>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14:paraId="782E4523" w14:textId="77777777" w:rsidR="0011151B" w:rsidRPr="00BA53F6" w:rsidRDefault="0011151B" w:rsidP="0011151B">
            <w:pPr>
              <w:spacing w:after="0" w:line="240" w:lineRule="auto"/>
              <w:jc w:val="center"/>
              <w:rPr>
                <w:rFonts w:ascii="Calibri" w:eastAsia="Times New Roman" w:hAnsi="Calibri" w:cs="Calibri"/>
                <w:color w:val="000000"/>
                <w:sz w:val="20"/>
                <w:szCs w:val="20"/>
                <w:lang w:eastAsia="en-NZ"/>
              </w:rPr>
            </w:pPr>
            <w:r w:rsidRPr="00BA53F6">
              <w:rPr>
                <w:rFonts w:ascii="Calibri" w:eastAsia="Times New Roman" w:hAnsi="Calibri" w:cs="Calibri"/>
                <w:color w:val="000000"/>
                <w:sz w:val="20"/>
                <w:szCs w:val="20"/>
                <w:lang w:eastAsia="en-NZ"/>
              </w:rPr>
              <w:t>TA1</w:t>
            </w:r>
          </w:p>
        </w:tc>
        <w:tc>
          <w:tcPr>
            <w:tcW w:w="5494" w:type="dxa"/>
            <w:tcBorders>
              <w:top w:val="nil"/>
              <w:left w:val="nil"/>
              <w:bottom w:val="single" w:sz="4" w:space="0" w:color="auto"/>
              <w:right w:val="single" w:sz="4" w:space="0" w:color="auto"/>
            </w:tcBorders>
            <w:shd w:val="clear" w:color="auto" w:fill="auto"/>
            <w:vAlign w:val="center"/>
            <w:hideMark/>
          </w:tcPr>
          <w:p w14:paraId="221F4D26" w14:textId="77777777" w:rsidR="0011151B" w:rsidRPr="00BA53F6" w:rsidRDefault="0011151B" w:rsidP="0011151B">
            <w:pPr>
              <w:spacing w:after="0" w:line="240" w:lineRule="auto"/>
              <w:rPr>
                <w:rFonts w:ascii="Calibri" w:eastAsia="Times New Roman" w:hAnsi="Calibri" w:cs="Calibri"/>
                <w:color w:val="000000"/>
                <w:sz w:val="20"/>
                <w:szCs w:val="20"/>
                <w:lang w:eastAsia="en-NZ"/>
              </w:rPr>
            </w:pPr>
            <w:r w:rsidRPr="00BA53F6">
              <w:rPr>
                <w:rFonts w:ascii="Calibri" w:eastAsia="Times New Roman" w:hAnsi="Calibri" w:cs="Calibri"/>
                <w:color w:val="000000"/>
                <w:sz w:val="20"/>
                <w:szCs w:val="20"/>
                <w:lang w:eastAsia="en-NZ"/>
              </w:rPr>
              <w:t xml:space="preserve">Oversee PICT development of EV roadmaps and EV mandates. </w:t>
            </w:r>
          </w:p>
        </w:tc>
        <w:tc>
          <w:tcPr>
            <w:tcW w:w="1276" w:type="dxa"/>
            <w:tcBorders>
              <w:top w:val="nil"/>
              <w:left w:val="nil"/>
              <w:bottom w:val="single" w:sz="4" w:space="0" w:color="auto"/>
              <w:right w:val="single" w:sz="4" w:space="0" w:color="auto"/>
            </w:tcBorders>
            <w:shd w:val="clear" w:color="auto" w:fill="auto"/>
            <w:noWrap/>
            <w:vAlign w:val="bottom"/>
            <w:hideMark/>
          </w:tcPr>
          <w:p w14:paraId="25DF60FB" w14:textId="77777777" w:rsidR="0011151B" w:rsidRPr="00BA53F6" w:rsidRDefault="0011151B" w:rsidP="0011151B">
            <w:pPr>
              <w:spacing w:after="0" w:line="240" w:lineRule="auto"/>
              <w:jc w:val="center"/>
              <w:rPr>
                <w:rFonts w:ascii="Calibri" w:eastAsia="Times New Roman" w:hAnsi="Calibri" w:cs="Calibri"/>
                <w:color w:val="000000"/>
                <w:sz w:val="20"/>
                <w:szCs w:val="20"/>
                <w:lang w:eastAsia="en-NZ"/>
              </w:rPr>
            </w:pPr>
            <w:r w:rsidRPr="00BA53F6">
              <w:rPr>
                <w:rFonts w:ascii="Calibri" w:eastAsia="Times New Roman" w:hAnsi="Calibri" w:cs="Calibri"/>
                <w:color w:val="000000"/>
                <w:sz w:val="20"/>
                <w:szCs w:val="20"/>
                <w:lang w:eastAsia="en-NZ"/>
              </w:rPr>
              <w:t xml:space="preserve"> $     30,000 </w:t>
            </w:r>
          </w:p>
        </w:tc>
        <w:tc>
          <w:tcPr>
            <w:tcW w:w="1134" w:type="dxa"/>
            <w:tcBorders>
              <w:top w:val="nil"/>
              <w:left w:val="nil"/>
              <w:bottom w:val="single" w:sz="4" w:space="0" w:color="auto"/>
              <w:right w:val="single" w:sz="4" w:space="0" w:color="auto"/>
            </w:tcBorders>
            <w:shd w:val="clear" w:color="auto" w:fill="auto"/>
            <w:noWrap/>
            <w:vAlign w:val="bottom"/>
            <w:hideMark/>
          </w:tcPr>
          <w:p w14:paraId="05983D2D" w14:textId="77777777" w:rsidR="0011151B" w:rsidRPr="00BA53F6" w:rsidRDefault="0011151B" w:rsidP="0011151B">
            <w:pPr>
              <w:spacing w:after="0" w:line="240" w:lineRule="auto"/>
              <w:jc w:val="center"/>
              <w:rPr>
                <w:rFonts w:ascii="Calibri" w:eastAsia="Times New Roman" w:hAnsi="Calibri" w:cs="Calibri"/>
                <w:color w:val="000000"/>
                <w:sz w:val="20"/>
                <w:szCs w:val="20"/>
                <w:lang w:eastAsia="en-NZ"/>
              </w:rPr>
            </w:pPr>
            <w:r w:rsidRPr="00BA53F6">
              <w:rPr>
                <w:rFonts w:ascii="Calibri" w:eastAsia="Times New Roman" w:hAnsi="Calibri" w:cs="Calibri"/>
                <w:color w:val="000000"/>
                <w:sz w:val="20"/>
                <w:szCs w:val="20"/>
                <w:lang w:eastAsia="en-NZ"/>
              </w:rPr>
              <w:t>1</w:t>
            </w:r>
          </w:p>
        </w:tc>
      </w:tr>
      <w:tr w:rsidR="0011151B" w:rsidRPr="00BA53F6" w14:paraId="1D8F728C" w14:textId="77777777" w:rsidTr="00FF7D24">
        <w:trPr>
          <w:trHeight w:val="580"/>
          <w:jc w:val="center"/>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14:paraId="21459A4F" w14:textId="77777777" w:rsidR="0011151B" w:rsidRPr="00BA53F6" w:rsidRDefault="0011151B" w:rsidP="0011151B">
            <w:pPr>
              <w:spacing w:after="0" w:line="240" w:lineRule="auto"/>
              <w:jc w:val="center"/>
              <w:rPr>
                <w:rFonts w:ascii="Calibri" w:eastAsia="Times New Roman" w:hAnsi="Calibri" w:cs="Calibri"/>
                <w:color w:val="000000"/>
                <w:sz w:val="20"/>
                <w:szCs w:val="20"/>
                <w:lang w:eastAsia="en-NZ"/>
              </w:rPr>
            </w:pPr>
            <w:r w:rsidRPr="00BA53F6">
              <w:rPr>
                <w:rFonts w:ascii="Calibri" w:eastAsia="Times New Roman" w:hAnsi="Calibri" w:cs="Calibri"/>
                <w:color w:val="000000"/>
                <w:sz w:val="20"/>
                <w:szCs w:val="20"/>
                <w:lang w:eastAsia="en-NZ"/>
              </w:rPr>
              <w:t>TA2</w:t>
            </w:r>
          </w:p>
        </w:tc>
        <w:tc>
          <w:tcPr>
            <w:tcW w:w="5494" w:type="dxa"/>
            <w:tcBorders>
              <w:top w:val="nil"/>
              <w:left w:val="nil"/>
              <w:bottom w:val="single" w:sz="4" w:space="0" w:color="auto"/>
              <w:right w:val="single" w:sz="4" w:space="0" w:color="auto"/>
            </w:tcBorders>
            <w:shd w:val="clear" w:color="auto" w:fill="auto"/>
            <w:vAlign w:val="center"/>
            <w:hideMark/>
          </w:tcPr>
          <w:p w14:paraId="063D88C4" w14:textId="77777777" w:rsidR="0011151B" w:rsidRPr="00BA53F6" w:rsidRDefault="0011151B" w:rsidP="0011151B">
            <w:pPr>
              <w:spacing w:after="0" w:line="240" w:lineRule="auto"/>
              <w:rPr>
                <w:rFonts w:ascii="Calibri" w:eastAsia="Times New Roman" w:hAnsi="Calibri" w:cs="Calibri"/>
                <w:color w:val="000000"/>
                <w:sz w:val="20"/>
                <w:szCs w:val="20"/>
                <w:lang w:eastAsia="en-NZ"/>
              </w:rPr>
            </w:pPr>
            <w:r w:rsidRPr="00BA53F6">
              <w:rPr>
                <w:rFonts w:ascii="Calibri" w:eastAsia="Times New Roman" w:hAnsi="Calibri" w:cs="Calibri"/>
                <w:color w:val="000000"/>
                <w:sz w:val="20"/>
                <w:szCs w:val="20"/>
                <w:lang w:eastAsia="en-NZ"/>
              </w:rPr>
              <w:t>Provision of discussion document and guidelines on preferred specifications for EV-related goods and recommendations for tax/duty levels.</w:t>
            </w:r>
          </w:p>
        </w:tc>
        <w:tc>
          <w:tcPr>
            <w:tcW w:w="1276" w:type="dxa"/>
            <w:tcBorders>
              <w:top w:val="nil"/>
              <w:left w:val="nil"/>
              <w:bottom w:val="single" w:sz="4" w:space="0" w:color="auto"/>
              <w:right w:val="single" w:sz="4" w:space="0" w:color="auto"/>
            </w:tcBorders>
            <w:shd w:val="clear" w:color="auto" w:fill="auto"/>
            <w:noWrap/>
            <w:vAlign w:val="bottom"/>
            <w:hideMark/>
          </w:tcPr>
          <w:p w14:paraId="01B4864C" w14:textId="77777777" w:rsidR="0011151B" w:rsidRPr="00BA53F6" w:rsidRDefault="0011151B" w:rsidP="0011151B">
            <w:pPr>
              <w:spacing w:after="0" w:line="240" w:lineRule="auto"/>
              <w:jc w:val="center"/>
              <w:rPr>
                <w:rFonts w:ascii="Calibri" w:eastAsia="Times New Roman" w:hAnsi="Calibri" w:cs="Calibri"/>
                <w:color w:val="000000"/>
                <w:sz w:val="20"/>
                <w:szCs w:val="20"/>
                <w:lang w:eastAsia="en-NZ"/>
              </w:rPr>
            </w:pPr>
            <w:r w:rsidRPr="00BA53F6">
              <w:rPr>
                <w:rFonts w:ascii="Calibri" w:eastAsia="Times New Roman" w:hAnsi="Calibri" w:cs="Calibri"/>
                <w:color w:val="000000"/>
                <w:sz w:val="20"/>
                <w:szCs w:val="20"/>
                <w:lang w:eastAsia="en-NZ"/>
              </w:rPr>
              <w:t xml:space="preserve"> $     15,000 </w:t>
            </w:r>
          </w:p>
        </w:tc>
        <w:tc>
          <w:tcPr>
            <w:tcW w:w="1134" w:type="dxa"/>
            <w:tcBorders>
              <w:top w:val="nil"/>
              <w:left w:val="nil"/>
              <w:bottom w:val="single" w:sz="4" w:space="0" w:color="auto"/>
              <w:right w:val="single" w:sz="4" w:space="0" w:color="auto"/>
            </w:tcBorders>
            <w:shd w:val="clear" w:color="auto" w:fill="auto"/>
            <w:noWrap/>
            <w:vAlign w:val="bottom"/>
            <w:hideMark/>
          </w:tcPr>
          <w:p w14:paraId="0590C2D7" w14:textId="77777777" w:rsidR="0011151B" w:rsidRPr="00BA53F6" w:rsidRDefault="0011151B" w:rsidP="0011151B">
            <w:pPr>
              <w:spacing w:after="0" w:line="240" w:lineRule="auto"/>
              <w:jc w:val="center"/>
              <w:rPr>
                <w:rFonts w:ascii="Calibri" w:eastAsia="Times New Roman" w:hAnsi="Calibri" w:cs="Calibri"/>
                <w:color w:val="000000"/>
                <w:sz w:val="20"/>
                <w:szCs w:val="20"/>
                <w:lang w:eastAsia="en-NZ"/>
              </w:rPr>
            </w:pPr>
            <w:r w:rsidRPr="00BA53F6">
              <w:rPr>
                <w:rFonts w:ascii="Calibri" w:eastAsia="Times New Roman" w:hAnsi="Calibri" w:cs="Calibri"/>
                <w:color w:val="000000"/>
                <w:sz w:val="20"/>
                <w:szCs w:val="20"/>
                <w:lang w:eastAsia="en-NZ"/>
              </w:rPr>
              <w:t>1</w:t>
            </w:r>
          </w:p>
        </w:tc>
      </w:tr>
      <w:tr w:rsidR="0011151B" w:rsidRPr="00BA53F6" w14:paraId="398F5826" w14:textId="77777777" w:rsidTr="00FF7D24">
        <w:trPr>
          <w:trHeight w:val="290"/>
          <w:jc w:val="center"/>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14:paraId="232A376C" w14:textId="77777777" w:rsidR="0011151B" w:rsidRPr="00BA53F6" w:rsidRDefault="0011151B" w:rsidP="0011151B">
            <w:pPr>
              <w:spacing w:after="0" w:line="240" w:lineRule="auto"/>
              <w:jc w:val="center"/>
              <w:rPr>
                <w:rFonts w:ascii="Calibri" w:eastAsia="Times New Roman" w:hAnsi="Calibri" w:cs="Calibri"/>
                <w:color w:val="000000"/>
                <w:sz w:val="20"/>
                <w:szCs w:val="20"/>
                <w:lang w:eastAsia="en-NZ"/>
              </w:rPr>
            </w:pPr>
            <w:r w:rsidRPr="00BA53F6">
              <w:rPr>
                <w:rFonts w:ascii="Calibri" w:eastAsia="Times New Roman" w:hAnsi="Calibri" w:cs="Calibri"/>
                <w:color w:val="000000"/>
                <w:sz w:val="20"/>
                <w:szCs w:val="20"/>
                <w:lang w:eastAsia="en-NZ"/>
              </w:rPr>
              <w:t>TA3</w:t>
            </w:r>
          </w:p>
        </w:tc>
        <w:tc>
          <w:tcPr>
            <w:tcW w:w="5494" w:type="dxa"/>
            <w:tcBorders>
              <w:top w:val="nil"/>
              <w:left w:val="nil"/>
              <w:bottom w:val="single" w:sz="4" w:space="0" w:color="auto"/>
              <w:right w:val="single" w:sz="4" w:space="0" w:color="auto"/>
            </w:tcBorders>
            <w:shd w:val="clear" w:color="auto" w:fill="auto"/>
            <w:vAlign w:val="center"/>
            <w:hideMark/>
          </w:tcPr>
          <w:p w14:paraId="259CFB45" w14:textId="77777777" w:rsidR="0011151B" w:rsidRPr="00BA53F6" w:rsidRDefault="0011151B" w:rsidP="0011151B">
            <w:pPr>
              <w:spacing w:after="0" w:line="240" w:lineRule="auto"/>
              <w:rPr>
                <w:rFonts w:ascii="Calibri" w:eastAsia="Times New Roman" w:hAnsi="Calibri" w:cs="Calibri"/>
                <w:color w:val="000000"/>
                <w:sz w:val="20"/>
                <w:szCs w:val="20"/>
                <w:lang w:eastAsia="en-NZ"/>
              </w:rPr>
            </w:pPr>
            <w:r w:rsidRPr="00BA53F6">
              <w:rPr>
                <w:rFonts w:ascii="Calibri" w:eastAsia="Times New Roman" w:hAnsi="Calibri" w:cs="Calibri"/>
                <w:color w:val="000000"/>
                <w:sz w:val="20"/>
                <w:szCs w:val="20"/>
                <w:lang w:eastAsia="en-NZ"/>
              </w:rPr>
              <w:t xml:space="preserve">Provision of V2H and on-site managed charging guidelines. </w:t>
            </w:r>
          </w:p>
        </w:tc>
        <w:tc>
          <w:tcPr>
            <w:tcW w:w="1276" w:type="dxa"/>
            <w:tcBorders>
              <w:top w:val="nil"/>
              <w:left w:val="nil"/>
              <w:bottom w:val="single" w:sz="4" w:space="0" w:color="auto"/>
              <w:right w:val="single" w:sz="4" w:space="0" w:color="auto"/>
            </w:tcBorders>
            <w:shd w:val="clear" w:color="auto" w:fill="auto"/>
            <w:noWrap/>
            <w:vAlign w:val="bottom"/>
            <w:hideMark/>
          </w:tcPr>
          <w:p w14:paraId="12605DC6" w14:textId="77777777" w:rsidR="0011151B" w:rsidRPr="00BA53F6" w:rsidRDefault="0011151B" w:rsidP="0011151B">
            <w:pPr>
              <w:spacing w:after="0" w:line="240" w:lineRule="auto"/>
              <w:jc w:val="center"/>
              <w:rPr>
                <w:rFonts w:ascii="Calibri" w:eastAsia="Times New Roman" w:hAnsi="Calibri" w:cs="Calibri"/>
                <w:color w:val="000000"/>
                <w:sz w:val="20"/>
                <w:szCs w:val="20"/>
                <w:lang w:eastAsia="en-NZ"/>
              </w:rPr>
            </w:pPr>
            <w:r w:rsidRPr="00BA53F6">
              <w:rPr>
                <w:rFonts w:ascii="Calibri" w:eastAsia="Times New Roman" w:hAnsi="Calibri" w:cs="Calibri"/>
                <w:color w:val="000000"/>
                <w:sz w:val="20"/>
                <w:szCs w:val="20"/>
                <w:lang w:eastAsia="en-NZ"/>
              </w:rPr>
              <w:t xml:space="preserve"> $        5,000 </w:t>
            </w:r>
          </w:p>
        </w:tc>
        <w:tc>
          <w:tcPr>
            <w:tcW w:w="1134" w:type="dxa"/>
            <w:tcBorders>
              <w:top w:val="nil"/>
              <w:left w:val="nil"/>
              <w:bottom w:val="single" w:sz="4" w:space="0" w:color="auto"/>
              <w:right w:val="single" w:sz="4" w:space="0" w:color="auto"/>
            </w:tcBorders>
            <w:shd w:val="clear" w:color="auto" w:fill="auto"/>
            <w:noWrap/>
            <w:vAlign w:val="bottom"/>
            <w:hideMark/>
          </w:tcPr>
          <w:p w14:paraId="15FA2CA4" w14:textId="77777777" w:rsidR="0011151B" w:rsidRPr="00BA53F6" w:rsidRDefault="0011151B" w:rsidP="0011151B">
            <w:pPr>
              <w:spacing w:after="0" w:line="240" w:lineRule="auto"/>
              <w:jc w:val="center"/>
              <w:rPr>
                <w:rFonts w:ascii="Calibri" w:eastAsia="Times New Roman" w:hAnsi="Calibri" w:cs="Calibri"/>
                <w:color w:val="000000"/>
                <w:sz w:val="20"/>
                <w:szCs w:val="20"/>
                <w:lang w:eastAsia="en-NZ"/>
              </w:rPr>
            </w:pPr>
            <w:r w:rsidRPr="00BA53F6">
              <w:rPr>
                <w:rFonts w:ascii="Calibri" w:eastAsia="Times New Roman" w:hAnsi="Calibri" w:cs="Calibri"/>
                <w:color w:val="000000"/>
                <w:sz w:val="20"/>
                <w:szCs w:val="20"/>
                <w:lang w:eastAsia="en-NZ"/>
              </w:rPr>
              <w:t>3</w:t>
            </w:r>
          </w:p>
        </w:tc>
      </w:tr>
      <w:tr w:rsidR="0011151B" w:rsidRPr="00BA53F6" w14:paraId="588BBB07" w14:textId="77777777" w:rsidTr="00FF7D24">
        <w:trPr>
          <w:trHeight w:val="290"/>
          <w:jc w:val="center"/>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14:paraId="4B356D5A" w14:textId="77777777" w:rsidR="0011151B" w:rsidRPr="00BA53F6" w:rsidRDefault="0011151B" w:rsidP="0011151B">
            <w:pPr>
              <w:spacing w:after="0" w:line="240" w:lineRule="auto"/>
              <w:jc w:val="center"/>
              <w:rPr>
                <w:rFonts w:ascii="Calibri" w:eastAsia="Times New Roman" w:hAnsi="Calibri" w:cs="Calibri"/>
                <w:color w:val="000000"/>
                <w:sz w:val="20"/>
                <w:szCs w:val="20"/>
                <w:lang w:eastAsia="en-NZ"/>
              </w:rPr>
            </w:pPr>
            <w:r w:rsidRPr="00BA53F6">
              <w:rPr>
                <w:rFonts w:ascii="Calibri" w:eastAsia="Times New Roman" w:hAnsi="Calibri" w:cs="Calibri"/>
                <w:color w:val="000000"/>
                <w:sz w:val="20"/>
                <w:szCs w:val="20"/>
                <w:lang w:eastAsia="en-NZ"/>
              </w:rPr>
              <w:t>TA4</w:t>
            </w:r>
          </w:p>
        </w:tc>
        <w:tc>
          <w:tcPr>
            <w:tcW w:w="5494" w:type="dxa"/>
            <w:tcBorders>
              <w:top w:val="nil"/>
              <w:left w:val="nil"/>
              <w:bottom w:val="single" w:sz="4" w:space="0" w:color="auto"/>
              <w:right w:val="single" w:sz="4" w:space="0" w:color="auto"/>
            </w:tcBorders>
            <w:shd w:val="clear" w:color="auto" w:fill="auto"/>
            <w:vAlign w:val="center"/>
            <w:hideMark/>
          </w:tcPr>
          <w:p w14:paraId="5BB0F90D" w14:textId="77777777" w:rsidR="0011151B" w:rsidRPr="00BA53F6" w:rsidRDefault="0011151B" w:rsidP="0011151B">
            <w:pPr>
              <w:spacing w:after="0" w:line="240" w:lineRule="auto"/>
              <w:rPr>
                <w:rFonts w:ascii="Calibri" w:eastAsia="Times New Roman" w:hAnsi="Calibri" w:cs="Calibri"/>
                <w:color w:val="000000"/>
                <w:sz w:val="20"/>
                <w:szCs w:val="20"/>
                <w:lang w:eastAsia="en-NZ"/>
              </w:rPr>
            </w:pPr>
            <w:r w:rsidRPr="00BA53F6">
              <w:rPr>
                <w:rFonts w:ascii="Calibri" w:eastAsia="Times New Roman" w:hAnsi="Calibri" w:cs="Calibri"/>
                <w:color w:val="000000"/>
                <w:sz w:val="20"/>
                <w:szCs w:val="20"/>
                <w:lang w:eastAsia="en-NZ"/>
              </w:rPr>
              <w:t>Provision of low-voltage specification guidelines</w:t>
            </w:r>
          </w:p>
        </w:tc>
        <w:tc>
          <w:tcPr>
            <w:tcW w:w="1276" w:type="dxa"/>
            <w:tcBorders>
              <w:top w:val="nil"/>
              <w:left w:val="nil"/>
              <w:bottom w:val="single" w:sz="4" w:space="0" w:color="auto"/>
              <w:right w:val="single" w:sz="4" w:space="0" w:color="auto"/>
            </w:tcBorders>
            <w:shd w:val="clear" w:color="auto" w:fill="auto"/>
            <w:noWrap/>
            <w:vAlign w:val="bottom"/>
            <w:hideMark/>
          </w:tcPr>
          <w:p w14:paraId="2F4F3C05" w14:textId="77777777" w:rsidR="0011151B" w:rsidRPr="00BA53F6" w:rsidRDefault="0011151B" w:rsidP="0011151B">
            <w:pPr>
              <w:spacing w:after="0" w:line="240" w:lineRule="auto"/>
              <w:jc w:val="center"/>
              <w:rPr>
                <w:rFonts w:ascii="Calibri" w:eastAsia="Times New Roman" w:hAnsi="Calibri" w:cs="Calibri"/>
                <w:color w:val="000000"/>
                <w:sz w:val="20"/>
                <w:szCs w:val="20"/>
                <w:lang w:eastAsia="en-NZ"/>
              </w:rPr>
            </w:pPr>
            <w:r w:rsidRPr="00BA53F6">
              <w:rPr>
                <w:rFonts w:ascii="Calibri" w:eastAsia="Times New Roman" w:hAnsi="Calibri" w:cs="Calibri"/>
                <w:color w:val="000000"/>
                <w:sz w:val="20"/>
                <w:szCs w:val="20"/>
                <w:lang w:eastAsia="en-NZ"/>
              </w:rPr>
              <w:t xml:space="preserve"> $     30,000 </w:t>
            </w:r>
          </w:p>
        </w:tc>
        <w:tc>
          <w:tcPr>
            <w:tcW w:w="1134" w:type="dxa"/>
            <w:tcBorders>
              <w:top w:val="nil"/>
              <w:left w:val="nil"/>
              <w:bottom w:val="single" w:sz="4" w:space="0" w:color="auto"/>
              <w:right w:val="single" w:sz="4" w:space="0" w:color="auto"/>
            </w:tcBorders>
            <w:shd w:val="clear" w:color="auto" w:fill="auto"/>
            <w:noWrap/>
            <w:vAlign w:val="bottom"/>
            <w:hideMark/>
          </w:tcPr>
          <w:p w14:paraId="0DBE4C8F" w14:textId="77777777" w:rsidR="0011151B" w:rsidRPr="00BA53F6" w:rsidRDefault="0011151B" w:rsidP="0011151B">
            <w:pPr>
              <w:spacing w:after="0" w:line="240" w:lineRule="auto"/>
              <w:jc w:val="center"/>
              <w:rPr>
                <w:rFonts w:ascii="Calibri" w:eastAsia="Times New Roman" w:hAnsi="Calibri" w:cs="Calibri"/>
                <w:color w:val="000000"/>
                <w:sz w:val="20"/>
                <w:szCs w:val="20"/>
                <w:lang w:eastAsia="en-NZ"/>
              </w:rPr>
            </w:pPr>
            <w:r w:rsidRPr="00BA53F6">
              <w:rPr>
                <w:rFonts w:ascii="Calibri" w:eastAsia="Times New Roman" w:hAnsi="Calibri" w:cs="Calibri"/>
                <w:color w:val="000000"/>
                <w:sz w:val="20"/>
                <w:szCs w:val="20"/>
                <w:lang w:eastAsia="en-NZ"/>
              </w:rPr>
              <w:t>3</w:t>
            </w:r>
          </w:p>
        </w:tc>
      </w:tr>
      <w:tr w:rsidR="0011151B" w:rsidRPr="00BA53F6" w14:paraId="562401E8" w14:textId="77777777" w:rsidTr="00FF7D24">
        <w:trPr>
          <w:trHeight w:val="290"/>
          <w:jc w:val="center"/>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14:paraId="0392D469" w14:textId="77777777" w:rsidR="0011151B" w:rsidRPr="00BA53F6" w:rsidRDefault="0011151B" w:rsidP="0011151B">
            <w:pPr>
              <w:spacing w:after="0" w:line="240" w:lineRule="auto"/>
              <w:jc w:val="center"/>
              <w:rPr>
                <w:rFonts w:ascii="Calibri" w:eastAsia="Times New Roman" w:hAnsi="Calibri" w:cs="Calibri"/>
                <w:color w:val="000000"/>
                <w:sz w:val="20"/>
                <w:szCs w:val="20"/>
                <w:lang w:eastAsia="en-NZ"/>
              </w:rPr>
            </w:pPr>
            <w:r w:rsidRPr="00BA53F6">
              <w:rPr>
                <w:rFonts w:ascii="Calibri" w:eastAsia="Times New Roman" w:hAnsi="Calibri" w:cs="Calibri"/>
                <w:color w:val="000000"/>
                <w:sz w:val="20"/>
                <w:szCs w:val="20"/>
                <w:lang w:eastAsia="en-NZ"/>
              </w:rPr>
              <w:t>TA5</w:t>
            </w:r>
          </w:p>
        </w:tc>
        <w:tc>
          <w:tcPr>
            <w:tcW w:w="5494" w:type="dxa"/>
            <w:tcBorders>
              <w:top w:val="nil"/>
              <w:left w:val="nil"/>
              <w:bottom w:val="single" w:sz="4" w:space="0" w:color="auto"/>
              <w:right w:val="single" w:sz="4" w:space="0" w:color="auto"/>
            </w:tcBorders>
            <w:shd w:val="clear" w:color="auto" w:fill="auto"/>
            <w:vAlign w:val="center"/>
            <w:hideMark/>
          </w:tcPr>
          <w:p w14:paraId="32EB83F5" w14:textId="77777777" w:rsidR="0011151B" w:rsidRPr="00BA53F6" w:rsidRDefault="0011151B" w:rsidP="0011151B">
            <w:pPr>
              <w:spacing w:after="0" w:line="240" w:lineRule="auto"/>
              <w:rPr>
                <w:rFonts w:ascii="Calibri" w:eastAsia="Times New Roman" w:hAnsi="Calibri" w:cs="Calibri"/>
                <w:color w:val="000000"/>
                <w:sz w:val="20"/>
                <w:szCs w:val="20"/>
                <w:lang w:eastAsia="en-NZ"/>
              </w:rPr>
            </w:pPr>
            <w:r w:rsidRPr="00BA53F6">
              <w:rPr>
                <w:rFonts w:ascii="Calibri" w:eastAsia="Times New Roman" w:hAnsi="Calibri" w:cs="Calibri"/>
                <w:color w:val="000000"/>
                <w:sz w:val="20"/>
                <w:szCs w:val="20"/>
                <w:lang w:eastAsia="en-NZ"/>
              </w:rPr>
              <w:t>Develop and provide generic courses on working with high-voltage EV systems.</w:t>
            </w:r>
          </w:p>
        </w:tc>
        <w:tc>
          <w:tcPr>
            <w:tcW w:w="1276" w:type="dxa"/>
            <w:tcBorders>
              <w:top w:val="nil"/>
              <w:left w:val="nil"/>
              <w:bottom w:val="single" w:sz="4" w:space="0" w:color="auto"/>
              <w:right w:val="single" w:sz="4" w:space="0" w:color="auto"/>
            </w:tcBorders>
            <w:shd w:val="clear" w:color="auto" w:fill="auto"/>
            <w:noWrap/>
            <w:vAlign w:val="bottom"/>
            <w:hideMark/>
          </w:tcPr>
          <w:p w14:paraId="1032103E" w14:textId="77777777" w:rsidR="0011151B" w:rsidRPr="00BA53F6" w:rsidRDefault="0011151B" w:rsidP="0011151B">
            <w:pPr>
              <w:spacing w:after="0" w:line="240" w:lineRule="auto"/>
              <w:jc w:val="center"/>
              <w:rPr>
                <w:rFonts w:ascii="Calibri" w:eastAsia="Times New Roman" w:hAnsi="Calibri" w:cs="Calibri"/>
                <w:color w:val="000000"/>
                <w:sz w:val="20"/>
                <w:szCs w:val="20"/>
                <w:lang w:eastAsia="en-NZ"/>
              </w:rPr>
            </w:pPr>
            <w:r w:rsidRPr="00BA53F6">
              <w:rPr>
                <w:rFonts w:ascii="Calibri" w:eastAsia="Times New Roman" w:hAnsi="Calibri" w:cs="Calibri"/>
                <w:color w:val="000000"/>
                <w:sz w:val="20"/>
                <w:szCs w:val="20"/>
                <w:lang w:eastAsia="en-NZ"/>
              </w:rPr>
              <w:t xml:space="preserve"> $   200,000 </w:t>
            </w:r>
          </w:p>
        </w:tc>
        <w:tc>
          <w:tcPr>
            <w:tcW w:w="1134" w:type="dxa"/>
            <w:tcBorders>
              <w:top w:val="nil"/>
              <w:left w:val="nil"/>
              <w:bottom w:val="single" w:sz="4" w:space="0" w:color="auto"/>
              <w:right w:val="single" w:sz="4" w:space="0" w:color="auto"/>
            </w:tcBorders>
            <w:shd w:val="clear" w:color="auto" w:fill="auto"/>
            <w:noWrap/>
            <w:vAlign w:val="bottom"/>
            <w:hideMark/>
          </w:tcPr>
          <w:p w14:paraId="6BA5E3E0" w14:textId="77777777" w:rsidR="0011151B" w:rsidRPr="00BA53F6" w:rsidRDefault="0011151B" w:rsidP="0011151B">
            <w:pPr>
              <w:spacing w:after="0" w:line="240" w:lineRule="auto"/>
              <w:jc w:val="center"/>
              <w:rPr>
                <w:rFonts w:ascii="Calibri" w:eastAsia="Times New Roman" w:hAnsi="Calibri" w:cs="Calibri"/>
                <w:color w:val="000000"/>
                <w:sz w:val="20"/>
                <w:szCs w:val="20"/>
                <w:lang w:eastAsia="en-NZ"/>
              </w:rPr>
            </w:pPr>
            <w:r w:rsidRPr="00BA53F6">
              <w:rPr>
                <w:rFonts w:ascii="Calibri" w:eastAsia="Times New Roman" w:hAnsi="Calibri" w:cs="Calibri"/>
                <w:color w:val="000000"/>
                <w:sz w:val="20"/>
                <w:szCs w:val="20"/>
                <w:lang w:eastAsia="en-NZ"/>
              </w:rPr>
              <w:t>2,3</w:t>
            </w:r>
          </w:p>
        </w:tc>
      </w:tr>
      <w:tr w:rsidR="0011151B" w:rsidRPr="00BA53F6" w14:paraId="5D510215" w14:textId="77777777" w:rsidTr="00FF7D24">
        <w:trPr>
          <w:trHeight w:val="580"/>
          <w:jc w:val="center"/>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14:paraId="3E6A1319" w14:textId="77777777" w:rsidR="0011151B" w:rsidRPr="00BA53F6" w:rsidRDefault="0011151B" w:rsidP="0011151B">
            <w:pPr>
              <w:spacing w:after="0" w:line="240" w:lineRule="auto"/>
              <w:jc w:val="center"/>
              <w:rPr>
                <w:rFonts w:ascii="Calibri" w:eastAsia="Times New Roman" w:hAnsi="Calibri" w:cs="Calibri"/>
                <w:color w:val="000000"/>
                <w:sz w:val="20"/>
                <w:szCs w:val="20"/>
                <w:lang w:eastAsia="en-NZ"/>
              </w:rPr>
            </w:pPr>
            <w:r w:rsidRPr="00BA53F6">
              <w:rPr>
                <w:rFonts w:ascii="Calibri" w:eastAsia="Times New Roman" w:hAnsi="Calibri" w:cs="Calibri"/>
                <w:color w:val="000000"/>
                <w:sz w:val="20"/>
                <w:szCs w:val="20"/>
                <w:lang w:eastAsia="en-NZ"/>
              </w:rPr>
              <w:t>TA6</w:t>
            </w:r>
          </w:p>
        </w:tc>
        <w:tc>
          <w:tcPr>
            <w:tcW w:w="5494" w:type="dxa"/>
            <w:tcBorders>
              <w:top w:val="nil"/>
              <w:left w:val="nil"/>
              <w:bottom w:val="single" w:sz="4" w:space="0" w:color="auto"/>
              <w:right w:val="single" w:sz="4" w:space="0" w:color="auto"/>
            </w:tcBorders>
            <w:shd w:val="clear" w:color="auto" w:fill="auto"/>
            <w:vAlign w:val="center"/>
            <w:hideMark/>
          </w:tcPr>
          <w:p w14:paraId="066B7C8E" w14:textId="77777777" w:rsidR="0011151B" w:rsidRPr="00BA53F6" w:rsidRDefault="0011151B" w:rsidP="0011151B">
            <w:pPr>
              <w:spacing w:after="0" w:line="240" w:lineRule="auto"/>
              <w:rPr>
                <w:rFonts w:ascii="Calibri" w:eastAsia="Times New Roman" w:hAnsi="Calibri" w:cs="Calibri"/>
                <w:color w:val="000000"/>
                <w:sz w:val="20"/>
                <w:szCs w:val="20"/>
                <w:lang w:eastAsia="en-NZ"/>
              </w:rPr>
            </w:pPr>
            <w:r w:rsidRPr="00BA53F6">
              <w:rPr>
                <w:rFonts w:ascii="Calibri" w:eastAsia="Times New Roman" w:hAnsi="Calibri" w:cs="Calibri"/>
                <w:color w:val="000000"/>
                <w:sz w:val="20"/>
                <w:szCs w:val="20"/>
                <w:lang w:eastAsia="en-NZ"/>
              </w:rPr>
              <w:t>Develop and provide generic courses on working with low-voltage EV and electricity supply systems.</w:t>
            </w:r>
          </w:p>
        </w:tc>
        <w:tc>
          <w:tcPr>
            <w:tcW w:w="1276" w:type="dxa"/>
            <w:tcBorders>
              <w:top w:val="nil"/>
              <w:left w:val="nil"/>
              <w:bottom w:val="single" w:sz="4" w:space="0" w:color="auto"/>
              <w:right w:val="single" w:sz="4" w:space="0" w:color="auto"/>
            </w:tcBorders>
            <w:shd w:val="clear" w:color="auto" w:fill="auto"/>
            <w:noWrap/>
            <w:vAlign w:val="bottom"/>
            <w:hideMark/>
          </w:tcPr>
          <w:p w14:paraId="6495F839" w14:textId="77777777" w:rsidR="0011151B" w:rsidRPr="00BA53F6" w:rsidRDefault="0011151B" w:rsidP="0011151B">
            <w:pPr>
              <w:spacing w:after="0" w:line="240" w:lineRule="auto"/>
              <w:jc w:val="center"/>
              <w:rPr>
                <w:rFonts w:ascii="Calibri" w:eastAsia="Times New Roman" w:hAnsi="Calibri" w:cs="Calibri"/>
                <w:color w:val="000000"/>
                <w:sz w:val="20"/>
                <w:szCs w:val="20"/>
                <w:lang w:eastAsia="en-NZ"/>
              </w:rPr>
            </w:pPr>
            <w:r w:rsidRPr="00BA53F6">
              <w:rPr>
                <w:rFonts w:ascii="Calibri" w:eastAsia="Times New Roman" w:hAnsi="Calibri" w:cs="Calibri"/>
                <w:color w:val="000000"/>
                <w:sz w:val="20"/>
                <w:szCs w:val="20"/>
                <w:lang w:eastAsia="en-NZ"/>
              </w:rPr>
              <w:t xml:space="preserve"> $   100,000 </w:t>
            </w:r>
          </w:p>
        </w:tc>
        <w:tc>
          <w:tcPr>
            <w:tcW w:w="1134" w:type="dxa"/>
            <w:tcBorders>
              <w:top w:val="nil"/>
              <w:left w:val="nil"/>
              <w:bottom w:val="single" w:sz="4" w:space="0" w:color="auto"/>
              <w:right w:val="single" w:sz="4" w:space="0" w:color="auto"/>
            </w:tcBorders>
            <w:shd w:val="clear" w:color="auto" w:fill="auto"/>
            <w:noWrap/>
            <w:vAlign w:val="bottom"/>
            <w:hideMark/>
          </w:tcPr>
          <w:p w14:paraId="68609C17" w14:textId="77777777" w:rsidR="0011151B" w:rsidRPr="00BA53F6" w:rsidRDefault="0011151B" w:rsidP="0011151B">
            <w:pPr>
              <w:spacing w:after="0" w:line="240" w:lineRule="auto"/>
              <w:jc w:val="center"/>
              <w:rPr>
                <w:rFonts w:ascii="Calibri" w:eastAsia="Times New Roman" w:hAnsi="Calibri" w:cs="Calibri"/>
                <w:color w:val="000000"/>
                <w:sz w:val="20"/>
                <w:szCs w:val="20"/>
                <w:lang w:eastAsia="en-NZ"/>
              </w:rPr>
            </w:pPr>
            <w:r w:rsidRPr="00BA53F6">
              <w:rPr>
                <w:rFonts w:ascii="Calibri" w:eastAsia="Times New Roman" w:hAnsi="Calibri" w:cs="Calibri"/>
                <w:color w:val="000000"/>
                <w:sz w:val="20"/>
                <w:szCs w:val="20"/>
                <w:lang w:eastAsia="en-NZ"/>
              </w:rPr>
              <w:t>2,3</w:t>
            </w:r>
          </w:p>
        </w:tc>
      </w:tr>
      <w:tr w:rsidR="0011151B" w:rsidRPr="00BA53F6" w14:paraId="704CF2F1" w14:textId="77777777" w:rsidTr="00FF7D24">
        <w:trPr>
          <w:trHeight w:val="290"/>
          <w:jc w:val="center"/>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14:paraId="07C9D6C5" w14:textId="77777777" w:rsidR="0011151B" w:rsidRPr="00BA53F6" w:rsidRDefault="0011151B" w:rsidP="0011151B">
            <w:pPr>
              <w:spacing w:after="0" w:line="240" w:lineRule="auto"/>
              <w:jc w:val="center"/>
              <w:rPr>
                <w:rFonts w:ascii="Calibri" w:eastAsia="Times New Roman" w:hAnsi="Calibri" w:cs="Calibri"/>
                <w:color w:val="000000"/>
                <w:sz w:val="20"/>
                <w:szCs w:val="20"/>
                <w:lang w:eastAsia="en-NZ"/>
              </w:rPr>
            </w:pPr>
            <w:r w:rsidRPr="00BA53F6">
              <w:rPr>
                <w:rFonts w:ascii="Calibri" w:eastAsia="Times New Roman" w:hAnsi="Calibri" w:cs="Calibri"/>
                <w:color w:val="000000"/>
                <w:sz w:val="20"/>
                <w:szCs w:val="20"/>
                <w:lang w:eastAsia="en-NZ"/>
              </w:rPr>
              <w:t>TA7</w:t>
            </w:r>
          </w:p>
        </w:tc>
        <w:tc>
          <w:tcPr>
            <w:tcW w:w="5494" w:type="dxa"/>
            <w:tcBorders>
              <w:top w:val="nil"/>
              <w:left w:val="nil"/>
              <w:bottom w:val="single" w:sz="4" w:space="0" w:color="auto"/>
              <w:right w:val="single" w:sz="4" w:space="0" w:color="auto"/>
            </w:tcBorders>
            <w:shd w:val="clear" w:color="auto" w:fill="auto"/>
            <w:vAlign w:val="center"/>
            <w:hideMark/>
          </w:tcPr>
          <w:p w14:paraId="6540EFB2" w14:textId="77777777" w:rsidR="0011151B" w:rsidRPr="00BA53F6" w:rsidRDefault="0011151B" w:rsidP="0011151B">
            <w:pPr>
              <w:spacing w:after="0" w:line="240" w:lineRule="auto"/>
              <w:rPr>
                <w:rFonts w:ascii="Calibri" w:eastAsia="Times New Roman" w:hAnsi="Calibri" w:cs="Calibri"/>
                <w:color w:val="000000"/>
                <w:sz w:val="20"/>
                <w:szCs w:val="20"/>
                <w:lang w:eastAsia="en-NZ"/>
              </w:rPr>
            </w:pPr>
            <w:r w:rsidRPr="00BA53F6">
              <w:rPr>
                <w:rFonts w:ascii="Calibri" w:eastAsia="Times New Roman" w:hAnsi="Calibri" w:cs="Calibri"/>
                <w:color w:val="000000"/>
                <w:sz w:val="20"/>
                <w:szCs w:val="20"/>
                <w:lang w:eastAsia="en-NZ"/>
              </w:rPr>
              <w:t>Development of low-voltage awareness and promotion info ration.</w:t>
            </w:r>
          </w:p>
        </w:tc>
        <w:tc>
          <w:tcPr>
            <w:tcW w:w="1276" w:type="dxa"/>
            <w:tcBorders>
              <w:top w:val="nil"/>
              <w:left w:val="nil"/>
              <w:bottom w:val="single" w:sz="4" w:space="0" w:color="auto"/>
              <w:right w:val="single" w:sz="4" w:space="0" w:color="auto"/>
            </w:tcBorders>
            <w:shd w:val="clear" w:color="auto" w:fill="auto"/>
            <w:noWrap/>
            <w:vAlign w:val="bottom"/>
            <w:hideMark/>
          </w:tcPr>
          <w:p w14:paraId="07387F58" w14:textId="77777777" w:rsidR="0011151B" w:rsidRPr="00BA53F6" w:rsidRDefault="0011151B" w:rsidP="0011151B">
            <w:pPr>
              <w:spacing w:after="0" w:line="240" w:lineRule="auto"/>
              <w:jc w:val="center"/>
              <w:rPr>
                <w:rFonts w:ascii="Calibri" w:eastAsia="Times New Roman" w:hAnsi="Calibri" w:cs="Calibri"/>
                <w:color w:val="000000"/>
                <w:sz w:val="20"/>
                <w:szCs w:val="20"/>
                <w:lang w:eastAsia="en-NZ"/>
              </w:rPr>
            </w:pPr>
            <w:r w:rsidRPr="00BA53F6">
              <w:rPr>
                <w:rFonts w:ascii="Calibri" w:eastAsia="Times New Roman" w:hAnsi="Calibri" w:cs="Calibri"/>
                <w:color w:val="000000"/>
                <w:sz w:val="20"/>
                <w:szCs w:val="20"/>
                <w:lang w:eastAsia="en-NZ"/>
              </w:rPr>
              <w:t xml:space="preserve"> $     30,000 </w:t>
            </w:r>
          </w:p>
        </w:tc>
        <w:tc>
          <w:tcPr>
            <w:tcW w:w="1134" w:type="dxa"/>
            <w:tcBorders>
              <w:top w:val="nil"/>
              <w:left w:val="nil"/>
              <w:bottom w:val="single" w:sz="4" w:space="0" w:color="auto"/>
              <w:right w:val="single" w:sz="4" w:space="0" w:color="auto"/>
            </w:tcBorders>
            <w:shd w:val="clear" w:color="auto" w:fill="auto"/>
            <w:noWrap/>
            <w:vAlign w:val="bottom"/>
            <w:hideMark/>
          </w:tcPr>
          <w:p w14:paraId="1D7A1A3A" w14:textId="77777777" w:rsidR="0011151B" w:rsidRPr="00BA53F6" w:rsidRDefault="0011151B" w:rsidP="0011151B">
            <w:pPr>
              <w:spacing w:after="0" w:line="240" w:lineRule="auto"/>
              <w:jc w:val="center"/>
              <w:rPr>
                <w:rFonts w:ascii="Calibri" w:eastAsia="Times New Roman" w:hAnsi="Calibri" w:cs="Calibri"/>
                <w:color w:val="000000"/>
                <w:sz w:val="20"/>
                <w:szCs w:val="20"/>
                <w:lang w:eastAsia="en-NZ"/>
              </w:rPr>
            </w:pPr>
            <w:r w:rsidRPr="00BA53F6">
              <w:rPr>
                <w:rFonts w:ascii="Calibri" w:eastAsia="Times New Roman" w:hAnsi="Calibri" w:cs="Calibri"/>
                <w:color w:val="000000"/>
                <w:sz w:val="20"/>
                <w:szCs w:val="20"/>
                <w:lang w:eastAsia="en-NZ"/>
              </w:rPr>
              <w:t>3</w:t>
            </w:r>
          </w:p>
        </w:tc>
      </w:tr>
      <w:tr w:rsidR="0011151B" w:rsidRPr="00BA53F6" w14:paraId="53E6C25B" w14:textId="77777777" w:rsidTr="00FF7D24">
        <w:trPr>
          <w:trHeight w:val="290"/>
          <w:jc w:val="center"/>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14:paraId="5310F984" w14:textId="77777777" w:rsidR="0011151B" w:rsidRPr="00BA53F6" w:rsidRDefault="0011151B" w:rsidP="0011151B">
            <w:pPr>
              <w:spacing w:after="0" w:line="240" w:lineRule="auto"/>
              <w:jc w:val="center"/>
              <w:rPr>
                <w:rFonts w:ascii="Calibri" w:eastAsia="Times New Roman" w:hAnsi="Calibri" w:cs="Calibri"/>
                <w:color w:val="000000"/>
                <w:sz w:val="20"/>
                <w:szCs w:val="20"/>
                <w:lang w:eastAsia="en-NZ"/>
              </w:rPr>
            </w:pPr>
            <w:r w:rsidRPr="00BA53F6">
              <w:rPr>
                <w:rFonts w:ascii="Calibri" w:eastAsia="Times New Roman" w:hAnsi="Calibri" w:cs="Calibri"/>
                <w:color w:val="000000"/>
                <w:sz w:val="20"/>
                <w:szCs w:val="20"/>
                <w:lang w:eastAsia="en-NZ"/>
              </w:rPr>
              <w:t>TA8</w:t>
            </w:r>
          </w:p>
        </w:tc>
        <w:tc>
          <w:tcPr>
            <w:tcW w:w="5494" w:type="dxa"/>
            <w:tcBorders>
              <w:top w:val="nil"/>
              <w:left w:val="nil"/>
              <w:bottom w:val="single" w:sz="4" w:space="0" w:color="auto"/>
              <w:right w:val="single" w:sz="4" w:space="0" w:color="auto"/>
            </w:tcBorders>
            <w:shd w:val="clear" w:color="auto" w:fill="auto"/>
            <w:vAlign w:val="center"/>
            <w:hideMark/>
          </w:tcPr>
          <w:p w14:paraId="4D41216E" w14:textId="77777777" w:rsidR="0011151B" w:rsidRPr="00BA53F6" w:rsidRDefault="0011151B" w:rsidP="0011151B">
            <w:pPr>
              <w:spacing w:after="0" w:line="240" w:lineRule="auto"/>
              <w:rPr>
                <w:rFonts w:ascii="Calibri" w:eastAsia="Times New Roman" w:hAnsi="Calibri" w:cs="Calibri"/>
                <w:color w:val="000000"/>
                <w:sz w:val="20"/>
                <w:szCs w:val="20"/>
                <w:lang w:eastAsia="en-NZ"/>
              </w:rPr>
            </w:pPr>
            <w:r w:rsidRPr="00BA53F6">
              <w:rPr>
                <w:rFonts w:ascii="Calibri" w:eastAsia="Times New Roman" w:hAnsi="Calibri" w:cs="Calibri"/>
                <w:color w:val="000000"/>
                <w:sz w:val="20"/>
                <w:szCs w:val="20"/>
                <w:lang w:eastAsia="en-NZ"/>
              </w:rPr>
              <w:t>Social marketing package, once per year (5 x $10,000)</w:t>
            </w:r>
          </w:p>
        </w:tc>
        <w:tc>
          <w:tcPr>
            <w:tcW w:w="1276" w:type="dxa"/>
            <w:tcBorders>
              <w:top w:val="nil"/>
              <w:left w:val="nil"/>
              <w:bottom w:val="single" w:sz="4" w:space="0" w:color="auto"/>
              <w:right w:val="single" w:sz="4" w:space="0" w:color="auto"/>
            </w:tcBorders>
            <w:shd w:val="clear" w:color="auto" w:fill="auto"/>
            <w:noWrap/>
            <w:vAlign w:val="bottom"/>
            <w:hideMark/>
          </w:tcPr>
          <w:p w14:paraId="56AC690D" w14:textId="77777777" w:rsidR="0011151B" w:rsidRPr="00BA53F6" w:rsidRDefault="0011151B" w:rsidP="0011151B">
            <w:pPr>
              <w:spacing w:after="0" w:line="240" w:lineRule="auto"/>
              <w:jc w:val="center"/>
              <w:rPr>
                <w:rFonts w:ascii="Calibri" w:eastAsia="Times New Roman" w:hAnsi="Calibri" w:cs="Calibri"/>
                <w:color w:val="000000"/>
                <w:sz w:val="20"/>
                <w:szCs w:val="20"/>
                <w:lang w:eastAsia="en-NZ"/>
              </w:rPr>
            </w:pPr>
            <w:r w:rsidRPr="00BA53F6">
              <w:rPr>
                <w:rFonts w:ascii="Calibri" w:eastAsia="Times New Roman" w:hAnsi="Calibri" w:cs="Calibri"/>
                <w:color w:val="000000"/>
                <w:sz w:val="20"/>
                <w:szCs w:val="20"/>
                <w:lang w:eastAsia="en-NZ"/>
              </w:rPr>
              <w:t xml:space="preserve"> $     50,000 </w:t>
            </w:r>
          </w:p>
        </w:tc>
        <w:tc>
          <w:tcPr>
            <w:tcW w:w="1134" w:type="dxa"/>
            <w:tcBorders>
              <w:top w:val="nil"/>
              <w:left w:val="nil"/>
              <w:bottom w:val="single" w:sz="4" w:space="0" w:color="auto"/>
              <w:right w:val="single" w:sz="4" w:space="0" w:color="auto"/>
            </w:tcBorders>
            <w:shd w:val="clear" w:color="auto" w:fill="auto"/>
            <w:noWrap/>
            <w:vAlign w:val="bottom"/>
            <w:hideMark/>
          </w:tcPr>
          <w:p w14:paraId="2F470DBC" w14:textId="77777777" w:rsidR="0011151B" w:rsidRPr="00BA53F6" w:rsidRDefault="0011151B" w:rsidP="0011151B">
            <w:pPr>
              <w:spacing w:after="0" w:line="240" w:lineRule="auto"/>
              <w:jc w:val="center"/>
              <w:rPr>
                <w:rFonts w:ascii="Calibri" w:eastAsia="Times New Roman" w:hAnsi="Calibri" w:cs="Calibri"/>
                <w:color w:val="000000"/>
                <w:sz w:val="20"/>
                <w:szCs w:val="20"/>
                <w:lang w:eastAsia="en-NZ"/>
              </w:rPr>
            </w:pPr>
            <w:r w:rsidRPr="00BA53F6">
              <w:rPr>
                <w:rFonts w:ascii="Calibri" w:eastAsia="Times New Roman" w:hAnsi="Calibri" w:cs="Calibri"/>
                <w:color w:val="000000"/>
                <w:sz w:val="20"/>
                <w:szCs w:val="20"/>
                <w:lang w:eastAsia="en-NZ"/>
              </w:rPr>
              <w:t>1,2,3,4,5</w:t>
            </w:r>
          </w:p>
        </w:tc>
      </w:tr>
      <w:tr w:rsidR="0011151B" w:rsidRPr="00BA53F6" w14:paraId="744FD988" w14:textId="77777777" w:rsidTr="00FF7D24">
        <w:trPr>
          <w:trHeight w:val="290"/>
          <w:jc w:val="center"/>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14:paraId="56BB0DD3" w14:textId="77777777" w:rsidR="0011151B" w:rsidRPr="00BA53F6" w:rsidRDefault="0011151B" w:rsidP="0011151B">
            <w:pPr>
              <w:spacing w:after="0" w:line="240" w:lineRule="auto"/>
              <w:jc w:val="center"/>
              <w:rPr>
                <w:rFonts w:ascii="Calibri" w:eastAsia="Times New Roman" w:hAnsi="Calibri" w:cs="Calibri"/>
                <w:color w:val="000000"/>
                <w:sz w:val="20"/>
                <w:szCs w:val="20"/>
                <w:lang w:eastAsia="en-NZ"/>
              </w:rPr>
            </w:pPr>
            <w:r w:rsidRPr="00BA53F6">
              <w:rPr>
                <w:rFonts w:ascii="Calibri" w:eastAsia="Times New Roman" w:hAnsi="Calibri" w:cs="Calibri"/>
                <w:color w:val="000000"/>
                <w:sz w:val="20"/>
                <w:szCs w:val="20"/>
                <w:lang w:eastAsia="en-NZ"/>
              </w:rPr>
              <w:t>TA9</w:t>
            </w:r>
          </w:p>
        </w:tc>
        <w:tc>
          <w:tcPr>
            <w:tcW w:w="5494" w:type="dxa"/>
            <w:tcBorders>
              <w:top w:val="nil"/>
              <w:left w:val="nil"/>
              <w:bottom w:val="single" w:sz="4" w:space="0" w:color="auto"/>
              <w:right w:val="single" w:sz="4" w:space="0" w:color="auto"/>
            </w:tcBorders>
            <w:shd w:val="clear" w:color="auto" w:fill="auto"/>
            <w:vAlign w:val="center"/>
            <w:hideMark/>
          </w:tcPr>
          <w:p w14:paraId="610E3FA7" w14:textId="77777777" w:rsidR="0011151B" w:rsidRPr="00BA53F6" w:rsidRDefault="0011151B" w:rsidP="0011151B">
            <w:pPr>
              <w:spacing w:after="0" w:line="240" w:lineRule="auto"/>
              <w:rPr>
                <w:rFonts w:ascii="Calibri" w:eastAsia="Times New Roman" w:hAnsi="Calibri" w:cs="Calibri"/>
                <w:color w:val="000000"/>
                <w:sz w:val="20"/>
                <w:szCs w:val="20"/>
                <w:lang w:eastAsia="en-NZ"/>
              </w:rPr>
            </w:pPr>
            <w:r w:rsidRPr="00BA53F6">
              <w:rPr>
                <w:rFonts w:ascii="Calibri" w:eastAsia="Times New Roman" w:hAnsi="Calibri" w:cs="Calibri"/>
                <w:color w:val="000000"/>
                <w:sz w:val="20"/>
                <w:szCs w:val="20"/>
                <w:lang w:eastAsia="en-NZ"/>
              </w:rPr>
              <w:t>Development of EV sector awareness and promotional campaign ($40k + 4 x $20k)</w:t>
            </w:r>
          </w:p>
        </w:tc>
        <w:tc>
          <w:tcPr>
            <w:tcW w:w="1276" w:type="dxa"/>
            <w:tcBorders>
              <w:top w:val="nil"/>
              <w:left w:val="nil"/>
              <w:bottom w:val="single" w:sz="4" w:space="0" w:color="auto"/>
              <w:right w:val="single" w:sz="4" w:space="0" w:color="auto"/>
            </w:tcBorders>
            <w:shd w:val="clear" w:color="auto" w:fill="auto"/>
            <w:noWrap/>
            <w:vAlign w:val="bottom"/>
            <w:hideMark/>
          </w:tcPr>
          <w:p w14:paraId="7AACC800" w14:textId="77777777" w:rsidR="0011151B" w:rsidRPr="00BA53F6" w:rsidRDefault="0011151B" w:rsidP="0011151B">
            <w:pPr>
              <w:spacing w:after="0" w:line="240" w:lineRule="auto"/>
              <w:jc w:val="center"/>
              <w:rPr>
                <w:rFonts w:ascii="Calibri" w:eastAsia="Times New Roman" w:hAnsi="Calibri" w:cs="Calibri"/>
                <w:color w:val="000000"/>
                <w:sz w:val="20"/>
                <w:szCs w:val="20"/>
                <w:lang w:eastAsia="en-NZ"/>
              </w:rPr>
            </w:pPr>
            <w:r w:rsidRPr="00BA53F6">
              <w:rPr>
                <w:rFonts w:ascii="Calibri" w:eastAsia="Times New Roman" w:hAnsi="Calibri" w:cs="Calibri"/>
                <w:color w:val="000000"/>
                <w:sz w:val="20"/>
                <w:szCs w:val="20"/>
                <w:lang w:eastAsia="en-NZ"/>
              </w:rPr>
              <w:t xml:space="preserve"> $   130,000 </w:t>
            </w:r>
          </w:p>
        </w:tc>
        <w:tc>
          <w:tcPr>
            <w:tcW w:w="1134" w:type="dxa"/>
            <w:tcBorders>
              <w:top w:val="nil"/>
              <w:left w:val="nil"/>
              <w:bottom w:val="single" w:sz="4" w:space="0" w:color="auto"/>
              <w:right w:val="single" w:sz="4" w:space="0" w:color="auto"/>
            </w:tcBorders>
            <w:shd w:val="clear" w:color="auto" w:fill="auto"/>
            <w:vAlign w:val="center"/>
            <w:hideMark/>
          </w:tcPr>
          <w:p w14:paraId="51819C23" w14:textId="77777777" w:rsidR="0011151B" w:rsidRPr="00BA53F6" w:rsidRDefault="0011151B" w:rsidP="0011151B">
            <w:pPr>
              <w:spacing w:after="0" w:line="240" w:lineRule="auto"/>
              <w:jc w:val="center"/>
              <w:rPr>
                <w:rFonts w:ascii="Calibri" w:eastAsia="Times New Roman" w:hAnsi="Calibri" w:cs="Calibri"/>
                <w:color w:val="000000"/>
                <w:sz w:val="20"/>
                <w:szCs w:val="20"/>
                <w:lang w:eastAsia="en-NZ"/>
              </w:rPr>
            </w:pPr>
            <w:r w:rsidRPr="00BA53F6">
              <w:rPr>
                <w:rFonts w:ascii="Calibri" w:eastAsia="Times New Roman" w:hAnsi="Calibri" w:cs="Calibri"/>
                <w:color w:val="000000"/>
                <w:sz w:val="20"/>
                <w:szCs w:val="20"/>
                <w:lang w:eastAsia="en-NZ"/>
              </w:rPr>
              <w:t>1,2,3,4,5</w:t>
            </w:r>
          </w:p>
        </w:tc>
      </w:tr>
      <w:tr w:rsidR="0011151B" w:rsidRPr="00BA53F6" w14:paraId="7C8302AC" w14:textId="77777777" w:rsidTr="00FF7D24">
        <w:trPr>
          <w:trHeight w:val="290"/>
          <w:jc w:val="center"/>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14:paraId="3659290C" w14:textId="77777777" w:rsidR="0011151B" w:rsidRPr="00BA53F6" w:rsidRDefault="0011151B" w:rsidP="0011151B">
            <w:pPr>
              <w:spacing w:after="0" w:line="240" w:lineRule="auto"/>
              <w:jc w:val="center"/>
              <w:rPr>
                <w:rFonts w:ascii="Calibri" w:eastAsia="Times New Roman" w:hAnsi="Calibri" w:cs="Calibri"/>
                <w:color w:val="000000"/>
                <w:sz w:val="20"/>
                <w:szCs w:val="20"/>
                <w:lang w:eastAsia="en-NZ"/>
              </w:rPr>
            </w:pPr>
            <w:r w:rsidRPr="00BA53F6">
              <w:rPr>
                <w:rFonts w:ascii="Calibri" w:eastAsia="Times New Roman" w:hAnsi="Calibri" w:cs="Calibri"/>
                <w:color w:val="000000"/>
                <w:sz w:val="20"/>
                <w:szCs w:val="20"/>
                <w:lang w:eastAsia="en-NZ"/>
              </w:rPr>
              <w:t>TA10</w:t>
            </w:r>
          </w:p>
        </w:tc>
        <w:tc>
          <w:tcPr>
            <w:tcW w:w="5494" w:type="dxa"/>
            <w:tcBorders>
              <w:top w:val="nil"/>
              <w:left w:val="nil"/>
              <w:bottom w:val="single" w:sz="4" w:space="0" w:color="auto"/>
              <w:right w:val="single" w:sz="4" w:space="0" w:color="auto"/>
            </w:tcBorders>
            <w:shd w:val="clear" w:color="auto" w:fill="auto"/>
            <w:vAlign w:val="center"/>
            <w:hideMark/>
          </w:tcPr>
          <w:p w14:paraId="158887E8" w14:textId="77777777" w:rsidR="0011151B" w:rsidRPr="00BA53F6" w:rsidRDefault="0011151B" w:rsidP="0011151B">
            <w:pPr>
              <w:spacing w:after="0" w:line="240" w:lineRule="auto"/>
              <w:rPr>
                <w:rFonts w:ascii="Calibri" w:eastAsia="Times New Roman" w:hAnsi="Calibri" w:cs="Calibri"/>
                <w:color w:val="000000"/>
                <w:sz w:val="20"/>
                <w:szCs w:val="20"/>
                <w:lang w:eastAsia="en-NZ"/>
              </w:rPr>
            </w:pPr>
            <w:r w:rsidRPr="00BA53F6">
              <w:rPr>
                <w:rFonts w:ascii="Calibri" w:eastAsia="Times New Roman" w:hAnsi="Calibri" w:cs="Calibri"/>
                <w:color w:val="000000"/>
                <w:sz w:val="20"/>
                <w:szCs w:val="20"/>
                <w:lang w:eastAsia="en-NZ"/>
              </w:rPr>
              <w:t>Provision of guidelines for public charging.</w:t>
            </w:r>
          </w:p>
        </w:tc>
        <w:tc>
          <w:tcPr>
            <w:tcW w:w="1276" w:type="dxa"/>
            <w:tcBorders>
              <w:top w:val="nil"/>
              <w:left w:val="nil"/>
              <w:bottom w:val="single" w:sz="4" w:space="0" w:color="auto"/>
              <w:right w:val="single" w:sz="4" w:space="0" w:color="auto"/>
            </w:tcBorders>
            <w:shd w:val="clear" w:color="auto" w:fill="auto"/>
            <w:noWrap/>
            <w:vAlign w:val="bottom"/>
            <w:hideMark/>
          </w:tcPr>
          <w:p w14:paraId="31D27AE4" w14:textId="77777777" w:rsidR="0011151B" w:rsidRPr="00BA53F6" w:rsidRDefault="0011151B" w:rsidP="0011151B">
            <w:pPr>
              <w:spacing w:after="0" w:line="240" w:lineRule="auto"/>
              <w:jc w:val="center"/>
              <w:rPr>
                <w:rFonts w:ascii="Calibri" w:eastAsia="Times New Roman" w:hAnsi="Calibri" w:cs="Calibri"/>
                <w:color w:val="000000"/>
                <w:sz w:val="20"/>
                <w:szCs w:val="20"/>
                <w:lang w:eastAsia="en-NZ"/>
              </w:rPr>
            </w:pPr>
            <w:r w:rsidRPr="00BA53F6">
              <w:rPr>
                <w:rFonts w:ascii="Calibri" w:eastAsia="Times New Roman" w:hAnsi="Calibri" w:cs="Calibri"/>
                <w:color w:val="000000"/>
                <w:sz w:val="20"/>
                <w:szCs w:val="20"/>
                <w:lang w:eastAsia="en-NZ"/>
              </w:rPr>
              <w:t xml:space="preserve"> $     20,000 </w:t>
            </w:r>
          </w:p>
        </w:tc>
        <w:tc>
          <w:tcPr>
            <w:tcW w:w="1134" w:type="dxa"/>
            <w:tcBorders>
              <w:top w:val="nil"/>
              <w:left w:val="nil"/>
              <w:bottom w:val="single" w:sz="4" w:space="0" w:color="auto"/>
              <w:right w:val="single" w:sz="4" w:space="0" w:color="auto"/>
            </w:tcBorders>
            <w:shd w:val="clear" w:color="auto" w:fill="auto"/>
            <w:noWrap/>
            <w:vAlign w:val="bottom"/>
            <w:hideMark/>
          </w:tcPr>
          <w:p w14:paraId="72C14BBA" w14:textId="77777777" w:rsidR="0011151B" w:rsidRPr="00BA53F6" w:rsidRDefault="0011151B" w:rsidP="0011151B">
            <w:pPr>
              <w:spacing w:after="0" w:line="240" w:lineRule="auto"/>
              <w:jc w:val="center"/>
              <w:rPr>
                <w:rFonts w:ascii="Calibri" w:eastAsia="Times New Roman" w:hAnsi="Calibri" w:cs="Calibri"/>
                <w:color w:val="000000"/>
                <w:sz w:val="20"/>
                <w:szCs w:val="20"/>
                <w:lang w:eastAsia="en-NZ"/>
              </w:rPr>
            </w:pPr>
            <w:r w:rsidRPr="00BA53F6">
              <w:rPr>
                <w:rFonts w:ascii="Calibri" w:eastAsia="Times New Roman" w:hAnsi="Calibri" w:cs="Calibri"/>
                <w:color w:val="000000"/>
                <w:sz w:val="20"/>
                <w:szCs w:val="20"/>
                <w:lang w:eastAsia="en-NZ"/>
              </w:rPr>
              <w:t>2</w:t>
            </w:r>
          </w:p>
        </w:tc>
      </w:tr>
      <w:tr w:rsidR="0011151B" w:rsidRPr="00BA53F6" w14:paraId="136D289A" w14:textId="77777777" w:rsidTr="00FF7D24">
        <w:trPr>
          <w:trHeight w:val="290"/>
          <w:jc w:val="center"/>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14:paraId="490A7419" w14:textId="77777777" w:rsidR="0011151B" w:rsidRPr="00BA53F6" w:rsidRDefault="0011151B" w:rsidP="0011151B">
            <w:pPr>
              <w:spacing w:after="0" w:line="240" w:lineRule="auto"/>
              <w:jc w:val="center"/>
              <w:rPr>
                <w:rFonts w:ascii="Calibri" w:eastAsia="Times New Roman" w:hAnsi="Calibri" w:cs="Calibri"/>
                <w:color w:val="000000"/>
                <w:sz w:val="20"/>
                <w:szCs w:val="20"/>
                <w:lang w:eastAsia="en-NZ"/>
              </w:rPr>
            </w:pPr>
            <w:r w:rsidRPr="00BA53F6">
              <w:rPr>
                <w:rFonts w:ascii="Calibri" w:eastAsia="Times New Roman" w:hAnsi="Calibri" w:cs="Calibri"/>
                <w:color w:val="000000"/>
                <w:sz w:val="20"/>
                <w:szCs w:val="20"/>
                <w:lang w:eastAsia="en-NZ"/>
              </w:rPr>
              <w:t>Other</w:t>
            </w:r>
          </w:p>
        </w:tc>
        <w:tc>
          <w:tcPr>
            <w:tcW w:w="5494" w:type="dxa"/>
            <w:tcBorders>
              <w:top w:val="nil"/>
              <w:left w:val="nil"/>
              <w:bottom w:val="single" w:sz="4" w:space="0" w:color="auto"/>
              <w:right w:val="single" w:sz="4" w:space="0" w:color="auto"/>
            </w:tcBorders>
            <w:shd w:val="clear" w:color="auto" w:fill="auto"/>
            <w:vAlign w:val="center"/>
            <w:hideMark/>
          </w:tcPr>
          <w:p w14:paraId="3114C76A" w14:textId="77777777" w:rsidR="0011151B" w:rsidRPr="00BA53F6" w:rsidRDefault="0011151B" w:rsidP="0011151B">
            <w:pPr>
              <w:spacing w:after="0" w:line="240" w:lineRule="auto"/>
              <w:rPr>
                <w:rFonts w:ascii="Calibri" w:eastAsia="Times New Roman" w:hAnsi="Calibri" w:cs="Calibri"/>
                <w:color w:val="000000"/>
                <w:sz w:val="20"/>
                <w:szCs w:val="20"/>
                <w:lang w:eastAsia="en-NZ"/>
              </w:rPr>
            </w:pPr>
            <w:r w:rsidRPr="00BA53F6">
              <w:rPr>
                <w:rFonts w:ascii="Calibri" w:eastAsia="Times New Roman" w:hAnsi="Calibri" w:cs="Calibri"/>
                <w:color w:val="000000"/>
                <w:sz w:val="20"/>
                <w:szCs w:val="20"/>
                <w:lang w:eastAsia="en-NZ"/>
              </w:rPr>
              <w:t xml:space="preserve">Contestable Fund Round 1 </w:t>
            </w:r>
          </w:p>
        </w:tc>
        <w:tc>
          <w:tcPr>
            <w:tcW w:w="1276" w:type="dxa"/>
            <w:tcBorders>
              <w:top w:val="nil"/>
              <w:left w:val="nil"/>
              <w:bottom w:val="single" w:sz="4" w:space="0" w:color="auto"/>
              <w:right w:val="single" w:sz="4" w:space="0" w:color="auto"/>
            </w:tcBorders>
            <w:shd w:val="clear" w:color="auto" w:fill="auto"/>
            <w:noWrap/>
            <w:vAlign w:val="bottom"/>
            <w:hideMark/>
          </w:tcPr>
          <w:p w14:paraId="0532E94E" w14:textId="77777777" w:rsidR="0011151B" w:rsidRPr="00BA53F6" w:rsidRDefault="0011151B" w:rsidP="0011151B">
            <w:pPr>
              <w:spacing w:after="0" w:line="240" w:lineRule="auto"/>
              <w:jc w:val="center"/>
              <w:rPr>
                <w:rFonts w:ascii="Calibri" w:eastAsia="Times New Roman" w:hAnsi="Calibri" w:cs="Calibri"/>
                <w:color w:val="000000"/>
                <w:sz w:val="20"/>
                <w:szCs w:val="20"/>
                <w:lang w:eastAsia="en-NZ"/>
              </w:rPr>
            </w:pPr>
            <w:r w:rsidRPr="00BA53F6">
              <w:rPr>
                <w:rFonts w:ascii="Calibri" w:eastAsia="Times New Roman" w:hAnsi="Calibri" w:cs="Calibri"/>
                <w:color w:val="000000"/>
                <w:sz w:val="20"/>
                <w:szCs w:val="20"/>
                <w:lang w:eastAsia="en-NZ"/>
              </w:rPr>
              <w:t xml:space="preserve"> $   250,000 </w:t>
            </w:r>
          </w:p>
        </w:tc>
        <w:tc>
          <w:tcPr>
            <w:tcW w:w="1134" w:type="dxa"/>
            <w:tcBorders>
              <w:top w:val="nil"/>
              <w:left w:val="nil"/>
              <w:bottom w:val="single" w:sz="4" w:space="0" w:color="auto"/>
              <w:right w:val="single" w:sz="4" w:space="0" w:color="auto"/>
            </w:tcBorders>
            <w:shd w:val="clear" w:color="auto" w:fill="auto"/>
            <w:noWrap/>
            <w:vAlign w:val="bottom"/>
            <w:hideMark/>
          </w:tcPr>
          <w:p w14:paraId="0D2D06DE" w14:textId="77777777" w:rsidR="0011151B" w:rsidRPr="00BA53F6" w:rsidRDefault="0011151B" w:rsidP="0011151B">
            <w:pPr>
              <w:spacing w:after="0" w:line="240" w:lineRule="auto"/>
              <w:jc w:val="center"/>
              <w:rPr>
                <w:rFonts w:ascii="Calibri" w:eastAsia="Times New Roman" w:hAnsi="Calibri" w:cs="Calibri"/>
                <w:color w:val="000000"/>
                <w:sz w:val="20"/>
                <w:szCs w:val="20"/>
                <w:lang w:eastAsia="en-NZ"/>
              </w:rPr>
            </w:pPr>
            <w:r w:rsidRPr="00BA53F6">
              <w:rPr>
                <w:rFonts w:ascii="Calibri" w:eastAsia="Times New Roman" w:hAnsi="Calibri" w:cs="Calibri"/>
                <w:color w:val="000000"/>
                <w:sz w:val="20"/>
                <w:szCs w:val="20"/>
                <w:lang w:eastAsia="en-NZ"/>
              </w:rPr>
              <w:t>3</w:t>
            </w:r>
          </w:p>
        </w:tc>
      </w:tr>
      <w:tr w:rsidR="0011151B" w:rsidRPr="00BA53F6" w14:paraId="60594069" w14:textId="77777777" w:rsidTr="00FF7D24">
        <w:trPr>
          <w:trHeight w:val="290"/>
          <w:jc w:val="center"/>
        </w:trPr>
        <w:tc>
          <w:tcPr>
            <w:tcW w:w="7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BB4707" w14:textId="77777777" w:rsidR="0011151B" w:rsidRPr="00BA53F6" w:rsidRDefault="0011151B" w:rsidP="0011151B">
            <w:pPr>
              <w:spacing w:after="0" w:line="240" w:lineRule="auto"/>
              <w:jc w:val="center"/>
              <w:rPr>
                <w:rFonts w:ascii="Calibri" w:eastAsia="Times New Roman" w:hAnsi="Calibri" w:cs="Calibri"/>
                <w:color w:val="000000"/>
                <w:sz w:val="20"/>
                <w:szCs w:val="20"/>
                <w:lang w:eastAsia="en-NZ"/>
              </w:rPr>
            </w:pPr>
            <w:r w:rsidRPr="00BA53F6">
              <w:rPr>
                <w:rFonts w:ascii="Calibri" w:eastAsia="Times New Roman" w:hAnsi="Calibri" w:cs="Calibri"/>
                <w:color w:val="000000"/>
                <w:sz w:val="20"/>
                <w:szCs w:val="20"/>
                <w:lang w:eastAsia="en-NZ"/>
              </w:rPr>
              <w:t>Other</w:t>
            </w:r>
          </w:p>
        </w:tc>
        <w:tc>
          <w:tcPr>
            <w:tcW w:w="5494" w:type="dxa"/>
            <w:tcBorders>
              <w:top w:val="single" w:sz="4" w:space="0" w:color="auto"/>
              <w:left w:val="nil"/>
              <w:bottom w:val="single" w:sz="4" w:space="0" w:color="auto"/>
              <w:right w:val="single" w:sz="4" w:space="0" w:color="auto"/>
            </w:tcBorders>
            <w:shd w:val="clear" w:color="auto" w:fill="auto"/>
            <w:vAlign w:val="center"/>
            <w:hideMark/>
          </w:tcPr>
          <w:p w14:paraId="74A0C263" w14:textId="77777777" w:rsidR="0011151B" w:rsidRPr="00BA53F6" w:rsidRDefault="0011151B" w:rsidP="0011151B">
            <w:pPr>
              <w:spacing w:after="0" w:line="240" w:lineRule="auto"/>
              <w:rPr>
                <w:rFonts w:ascii="Calibri" w:eastAsia="Times New Roman" w:hAnsi="Calibri" w:cs="Calibri"/>
                <w:color w:val="000000"/>
                <w:sz w:val="20"/>
                <w:szCs w:val="20"/>
                <w:lang w:eastAsia="en-NZ"/>
              </w:rPr>
            </w:pPr>
            <w:r w:rsidRPr="00BA53F6">
              <w:rPr>
                <w:rFonts w:ascii="Calibri" w:eastAsia="Times New Roman" w:hAnsi="Calibri" w:cs="Calibri"/>
                <w:color w:val="000000"/>
                <w:sz w:val="20"/>
                <w:szCs w:val="20"/>
                <w:lang w:eastAsia="en-NZ"/>
              </w:rPr>
              <w:t>Contestable Fund Round 2</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64E50EA" w14:textId="77777777" w:rsidR="0011151B" w:rsidRPr="00BA53F6" w:rsidRDefault="0011151B" w:rsidP="0011151B">
            <w:pPr>
              <w:spacing w:after="0" w:line="240" w:lineRule="auto"/>
              <w:jc w:val="center"/>
              <w:rPr>
                <w:rFonts w:ascii="Calibri" w:eastAsia="Times New Roman" w:hAnsi="Calibri" w:cs="Calibri"/>
                <w:color w:val="000000"/>
                <w:sz w:val="20"/>
                <w:szCs w:val="20"/>
                <w:lang w:eastAsia="en-NZ"/>
              </w:rPr>
            </w:pPr>
            <w:r w:rsidRPr="00BA53F6">
              <w:rPr>
                <w:rFonts w:ascii="Calibri" w:eastAsia="Times New Roman" w:hAnsi="Calibri" w:cs="Calibri"/>
                <w:color w:val="000000"/>
                <w:sz w:val="20"/>
                <w:szCs w:val="20"/>
                <w:lang w:eastAsia="en-NZ"/>
              </w:rPr>
              <w:t xml:space="preserve"> $   250,000 </w:t>
            </w:r>
          </w:p>
        </w:tc>
        <w:tc>
          <w:tcPr>
            <w:tcW w:w="1134" w:type="dxa"/>
            <w:tcBorders>
              <w:top w:val="nil"/>
              <w:left w:val="nil"/>
              <w:bottom w:val="single" w:sz="4" w:space="0" w:color="auto"/>
              <w:right w:val="single" w:sz="4" w:space="0" w:color="auto"/>
            </w:tcBorders>
            <w:shd w:val="clear" w:color="auto" w:fill="auto"/>
            <w:noWrap/>
            <w:vAlign w:val="bottom"/>
            <w:hideMark/>
          </w:tcPr>
          <w:p w14:paraId="15831214" w14:textId="77777777" w:rsidR="0011151B" w:rsidRPr="00BA53F6" w:rsidRDefault="0011151B" w:rsidP="0011151B">
            <w:pPr>
              <w:spacing w:after="0" w:line="240" w:lineRule="auto"/>
              <w:jc w:val="center"/>
              <w:rPr>
                <w:rFonts w:ascii="Calibri" w:eastAsia="Times New Roman" w:hAnsi="Calibri" w:cs="Calibri"/>
                <w:color w:val="000000"/>
                <w:sz w:val="20"/>
                <w:szCs w:val="20"/>
                <w:lang w:eastAsia="en-NZ"/>
              </w:rPr>
            </w:pPr>
            <w:r w:rsidRPr="00BA53F6">
              <w:rPr>
                <w:rFonts w:ascii="Calibri" w:eastAsia="Times New Roman" w:hAnsi="Calibri" w:cs="Calibri"/>
                <w:color w:val="000000"/>
                <w:sz w:val="20"/>
                <w:szCs w:val="20"/>
                <w:lang w:eastAsia="en-NZ"/>
              </w:rPr>
              <w:t>4</w:t>
            </w:r>
          </w:p>
        </w:tc>
      </w:tr>
    </w:tbl>
    <w:p w14:paraId="5B08F05B" w14:textId="77777777" w:rsidR="00823BC6" w:rsidRPr="00F614B5" w:rsidRDefault="00823BC6" w:rsidP="009724F2">
      <w:pPr>
        <w:spacing w:after="120" w:line="216" w:lineRule="auto"/>
        <w:jc w:val="center"/>
        <w:rPr>
          <w:rFonts w:ascii="Calibri" w:hAnsi="Calibri" w:cs="Calibri"/>
          <w:b/>
          <w:bCs/>
          <w:sz w:val="2"/>
          <w:szCs w:val="2"/>
        </w:rPr>
      </w:pPr>
    </w:p>
    <w:p w14:paraId="00F9C8B3" w14:textId="6A74E53F" w:rsidR="009724F2" w:rsidRPr="009724F2" w:rsidRDefault="008325C9" w:rsidP="009724F2">
      <w:pPr>
        <w:spacing w:after="120" w:line="216" w:lineRule="auto"/>
        <w:jc w:val="center"/>
        <w:rPr>
          <w:rFonts w:ascii="Calibri" w:hAnsi="Calibri" w:cs="Calibri"/>
          <w:b/>
          <w:bCs/>
          <w:sz w:val="20"/>
          <w:szCs w:val="20"/>
        </w:rPr>
      </w:pPr>
      <w:r w:rsidRPr="00995C46">
        <w:rPr>
          <w:rFonts w:eastAsia="Calibri" w:cs="Arial"/>
          <w:b/>
          <w:sz w:val="20"/>
          <w:szCs w:val="20"/>
          <w:lang w:val="en-US"/>
        </w:rPr>
        <w:t xml:space="preserve">Table </w:t>
      </w:r>
      <w:r w:rsidRPr="00995C46">
        <w:rPr>
          <w:rFonts w:eastAsia="Calibri" w:cs="Arial"/>
          <w:b/>
          <w:sz w:val="20"/>
          <w:szCs w:val="20"/>
          <w:lang w:val="en-US"/>
        </w:rPr>
        <w:fldChar w:fldCharType="begin"/>
      </w:r>
      <w:r w:rsidRPr="00995C46">
        <w:rPr>
          <w:rFonts w:eastAsia="Calibri" w:cs="Arial"/>
          <w:b/>
          <w:sz w:val="20"/>
          <w:szCs w:val="20"/>
          <w:lang w:val="en-US"/>
        </w:rPr>
        <w:instrText xml:space="preserve"> SEQ Table \* ARABIC </w:instrText>
      </w:r>
      <w:r w:rsidRPr="00995C46">
        <w:rPr>
          <w:rFonts w:eastAsia="Calibri" w:cs="Arial"/>
          <w:b/>
          <w:sz w:val="20"/>
          <w:szCs w:val="20"/>
          <w:lang w:val="en-US"/>
        </w:rPr>
        <w:fldChar w:fldCharType="separate"/>
      </w:r>
      <w:r>
        <w:rPr>
          <w:rFonts w:eastAsia="Calibri" w:cs="Arial"/>
          <w:b/>
          <w:noProof/>
          <w:sz w:val="20"/>
          <w:szCs w:val="20"/>
          <w:lang w:val="en-US"/>
        </w:rPr>
        <w:t>3</w:t>
      </w:r>
      <w:r w:rsidRPr="00995C46">
        <w:rPr>
          <w:rFonts w:eastAsia="Calibri" w:cs="Arial"/>
          <w:b/>
          <w:sz w:val="20"/>
          <w:szCs w:val="20"/>
          <w:lang w:val="en-US"/>
        </w:rPr>
        <w:fldChar w:fldCharType="end"/>
      </w:r>
      <w:r w:rsidR="009724F2" w:rsidRPr="009724F2">
        <w:rPr>
          <w:rFonts w:ascii="Calibri" w:hAnsi="Calibri" w:cs="Calibri"/>
          <w:b/>
          <w:bCs/>
          <w:sz w:val="20"/>
          <w:szCs w:val="20"/>
        </w:rPr>
        <w:t>: Proposed Technical Assistance Projects in Support of the EV Program</w:t>
      </w:r>
    </w:p>
    <w:p w14:paraId="74760708" w14:textId="77777777" w:rsidR="00E71085" w:rsidRPr="00FF7D24" w:rsidRDefault="00E71085" w:rsidP="009724F2">
      <w:pPr>
        <w:spacing w:after="120" w:line="216" w:lineRule="auto"/>
        <w:rPr>
          <w:rFonts w:ascii="Calibri" w:hAnsi="Calibri" w:cs="Calibri"/>
          <w:sz w:val="8"/>
          <w:szCs w:val="8"/>
        </w:rPr>
      </w:pPr>
    </w:p>
    <w:p w14:paraId="3C2890E6" w14:textId="4610E608" w:rsidR="003678D2" w:rsidRDefault="006915AA" w:rsidP="00FF7D24">
      <w:pPr>
        <w:spacing w:before="120" w:after="0" w:line="216" w:lineRule="auto"/>
      </w:pPr>
      <w:r>
        <w:t>The results framework was developed in a</w:t>
      </w:r>
      <w:r w:rsidR="003678D2">
        <w:t xml:space="preserve">n </w:t>
      </w:r>
      <w:r>
        <w:t>Excel</w:t>
      </w:r>
      <w:r w:rsidR="003678D2">
        <w:t xml:space="preserve"> spreadsheet. </w:t>
      </w:r>
      <w:r w:rsidR="0011151B">
        <w:t xml:space="preserve">Appendix B provides </w:t>
      </w:r>
      <w:r w:rsidR="003678D2">
        <w:t xml:space="preserve">a cut and paste of this spreadsheet. With 38 policy actions involved, the </w:t>
      </w:r>
      <w:r w:rsidR="003F7AE7">
        <w:t xml:space="preserve">detailed </w:t>
      </w:r>
      <w:r w:rsidR="003678D2">
        <w:t xml:space="preserve">results framework is extensive and Appendix C provides a summary aimed at making it easier to look across the </w:t>
      </w:r>
      <w:r w:rsidR="00542A4A">
        <w:t xml:space="preserve">proposed </w:t>
      </w:r>
      <w:r w:rsidR="003678D2">
        <w:t>results framework.</w:t>
      </w:r>
    </w:p>
    <w:p w14:paraId="7B4B92D1" w14:textId="218B962D" w:rsidR="00C21C88" w:rsidRDefault="00C21C88" w:rsidP="00FF7D24">
      <w:pPr>
        <w:spacing w:before="120" w:after="0" w:line="216" w:lineRule="auto"/>
      </w:pPr>
      <w:r>
        <w:t xml:space="preserve">Listed below, </w:t>
      </w:r>
      <w:proofErr w:type="gramStart"/>
      <w:r>
        <w:t>and also</w:t>
      </w:r>
      <w:proofErr w:type="gramEnd"/>
      <w:r>
        <w:t xml:space="preserve"> presented in </w:t>
      </w:r>
      <w:r w:rsidR="003678D2">
        <w:t>Table</w:t>
      </w:r>
      <w:r w:rsidR="00160327">
        <w:t xml:space="preserve"> </w:t>
      </w:r>
      <w:r w:rsidR="002E44DD">
        <w:t>4</w:t>
      </w:r>
      <w:r w:rsidR="00160327">
        <w:t xml:space="preserve">, </w:t>
      </w:r>
      <w:r>
        <w:t>are the resulting</w:t>
      </w:r>
      <w:r w:rsidR="003678D2">
        <w:t xml:space="preserve"> staffing and </w:t>
      </w:r>
      <w:r w:rsidR="00373F70">
        <w:t xml:space="preserve">budget levels </w:t>
      </w:r>
      <w:r>
        <w:t xml:space="preserve">as taken from the results framework for </w:t>
      </w:r>
      <w:r w:rsidR="007B2105">
        <w:t xml:space="preserve">both </w:t>
      </w:r>
      <w:r w:rsidR="00373F70">
        <w:t xml:space="preserve">the </w:t>
      </w:r>
      <w:r>
        <w:t xml:space="preserve">overall proposed </w:t>
      </w:r>
      <w:r w:rsidR="00373F70">
        <w:t>EV Program</w:t>
      </w:r>
      <w:r>
        <w:t xml:space="preserve">, </w:t>
      </w:r>
      <w:r w:rsidR="00373F70">
        <w:t xml:space="preserve">and separately for the </w:t>
      </w:r>
      <w:r>
        <w:t xml:space="preserve">proposed </w:t>
      </w:r>
      <w:r w:rsidR="00373F70">
        <w:t xml:space="preserve">Regional EV </w:t>
      </w:r>
      <w:r w:rsidR="00EB462B">
        <w:t>Coordination Hub</w:t>
      </w:r>
      <w:r>
        <w:t>. These totals are:</w:t>
      </w:r>
    </w:p>
    <w:p w14:paraId="1D4C5A8F" w14:textId="0DC59A4C" w:rsidR="00C21C88" w:rsidRDefault="00C21C88" w:rsidP="006131D6">
      <w:pPr>
        <w:pStyle w:val="ListParagraph"/>
        <w:numPr>
          <w:ilvl w:val="0"/>
          <w:numId w:val="14"/>
        </w:numPr>
        <w:spacing w:line="216" w:lineRule="auto"/>
      </w:pPr>
      <w:r w:rsidDel="00C21C88">
        <w:t xml:space="preserve"> </w:t>
      </w:r>
      <w:r>
        <w:t xml:space="preserve">A staffing level of the Regional EV </w:t>
      </w:r>
      <w:r w:rsidR="00EB462B">
        <w:t>Coordination Hub</w:t>
      </w:r>
      <w:r>
        <w:t xml:space="preserve"> of around 15 full-time-equivalents (FTEs) over the five-year period under consideration (i.e., an average of around 3.0 FTEs per year)</w:t>
      </w:r>
      <w:r w:rsidR="00F70BC7">
        <w:t>;</w:t>
      </w:r>
    </w:p>
    <w:p w14:paraId="153AD287" w14:textId="70BD1752" w:rsidR="00C21C88" w:rsidRDefault="00437CBD" w:rsidP="006131D6">
      <w:pPr>
        <w:pStyle w:val="ListParagraph"/>
        <w:numPr>
          <w:ilvl w:val="0"/>
          <w:numId w:val="14"/>
        </w:numPr>
        <w:spacing w:line="216" w:lineRule="auto"/>
      </w:pPr>
      <w:r>
        <w:t>US$274,000 over the five years</w:t>
      </w:r>
      <w:r w:rsidR="00C21C88">
        <w:t xml:space="preserve"> for the operational budget of the Regional EV </w:t>
      </w:r>
      <w:r w:rsidR="00EB462B">
        <w:t>Coordination Hub</w:t>
      </w:r>
      <w:r w:rsidR="00C21C88">
        <w:t xml:space="preserve"> (i.e., an average of around US$55,000 per year)</w:t>
      </w:r>
      <w:r w:rsidR="00F70BC7">
        <w:t>, provided from regional funds;</w:t>
      </w:r>
    </w:p>
    <w:p w14:paraId="0CAB4FD3" w14:textId="77777777" w:rsidR="00C21C88" w:rsidRDefault="00F70BC7" w:rsidP="006131D6">
      <w:pPr>
        <w:pStyle w:val="ListParagraph"/>
        <w:numPr>
          <w:ilvl w:val="0"/>
          <w:numId w:val="14"/>
        </w:numPr>
        <w:spacing w:line="216" w:lineRule="auto"/>
      </w:pPr>
      <w:r>
        <w:t xml:space="preserve">US$402,500 over five years to </w:t>
      </w:r>
      <w:r w:rsidR="00C21C88">
        <w:t>support Regional Subject Experts and to provide for a proposed annual regional EV workshop</w:t>
      </w:r>
      <w:r>
        <w:t xml:space="preserve"> (i.e., an average of around US$80,000 per year), provided from regional funds or donor sponsorship;</w:t>
      </w:r>
    </w:p>
    <w:p w14:paraId="23220FC5" w14:textId="77777777" w:rsidR="00F70BC7" w:rsidRDefault="00C21C88" w:rsidP="006131D6">
      <w:pPr>
        <w:pStyle w:val="ListParagraph"/>
        <w:numPr>
          <w:ilvl w:val="0"/>
          <w:numId w:val="14"/>
        </w:numPr>
        <w:spacing w:line="216" w:lineRule="auto"/>
      </w:pPr>
      <w:r>
        <w:t>US$610,000 of Technical Assistance projects</w:t>
      </w:r>
      <w:r w:rsidR="00F70BC7">
        <w:t xml:space="preserve"> provided from donor sponsorship; and</w:t>
      </w:r>
    </w:p>
    <w:p w14:paraId="6CC3C24B" w14:textId="77777777" w:rsidR="00C21C88" w:rsidRDefault="00C21C88" w:rsidP="006131D6">
      <w:pPr>
        <w:pStyle w:val="ListParagraph"/>
        <w:numPr>
          <w:ilvl w:val="0"/>
          <w:numId w:val="14"/>
        </w:numPr>
        <w:spacing w:line="216" w:lineRule="auto"/>
      </w:pPr>
      <w:r>
        <w:t xml:space="preserve">US$500,000 of funding for two rounds of a “contestable fund” </w:t>
      </w:r>
      <w:r w:rsidR="00F70BC7">
        <w:t>(</w:t>
      </w:r>
      <w:r>
        <w:t>to be used to support private investment in numerous EV-related infrastructure and demonstration projects.</w:t>
      </w:r>
    </w:p>
    <w:p w14:paraId="2D01AD42" w14:textId="77777777" w:rsidR="00F70BC7" w:rsidRDefault="00F70BC7" w:rsidP="00F614B5">
      <w:pPr>
        <w:pStyle w:val="ListParagraph"/>
        <w:spacing w:line="216" w:lineRule="auto"/>
        <w:ind w:left="770"/>
      </w:pPr>
    </w:p>
    <w:p w14:paraId="34609A1D" w14:textId="77777777" w:rsidR="00BA53F6" w:rsidRDefault="00C21C88" w:rsidP="00BA53F6">
      <w:pPr>
        <w:jc w:val="center"/>
        <w:rPr>
          <w:b/>
          <w:bCs/>
        </w:rPr>
      </w:pPr>
      <w:r w:rsidRPr="00C21C88">
        <w:rPr>
          <w:noProof/>
          <w:lang w:val="pt-BR" w:eastAsia="pt-BR"/>
        </w:rPr>
        <w:drawing>
          <wp:inline distT="0" distB="0" distL="0" distR="0" wp14:anchorId="105D08D5" wp14:editId="5C28A007">
            <wp:extent cx="5731510" cy="179197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1791970"/>
                    </a:xfrm>
                    <a:prstGeom prst="rect">
                      <a:avLst/>
                    </a:prstGeom>
                    <a:noFill/>
                    <a:ln>
                      <a:noFill/>
                    </a:ln>
                  </pic:spPr>
                </pic:pic>
              </a:graphicData>
            </a:graphic>
          </wp:inline>
        </w:drawing>
      </w:r>
    </w:p>
    <w:p w14:paraId="79051BE7" w14:textId="278F0752" w:rsidR="002B183E" w:rsidRDefault="008325C9" w:rsidP="00BA53F6">
      <w:pPr>
        <w:spacing w:after="0"/>
        <w:jc w:val="center"/>
        <w:rPr>
          <w:b/>
          <w:bCs/>
          <w:sz w:val="20"/>
          <w:szCs w:val="20"/>
        </w:rPr>
      </w:pPr>
      <w:r w:rsidRPr="00995C46">
        <w:rPr>
          <w:rFonts w:eastAsia="Calibri" w:cs="Arial"/>
          <w:b/>
          <w:sz w:val="20"/>
          <w:szCs w:val="20"/>
          <w:lang w:val="en-US"/>
        </w:rPr>
        <w:t xml:space="preserve">Table </w:t>
      </w:r>
      <w:r w:rsidRPr="00995C46">
        <w:rPr>
          <w:rFonts w:eastAsia="Calibri" w:cs="Arial"/>
          <w:b/>
          <w:sz w:val="20"/>
          <w:szCs w:val="20"/>
          <w:lang w:val="en-US"/>
        </w:rPr>
        <w:fldChar w:fldCharType="begin"/>
      </w:r>
      <w:r w:rsidRPr="00995C46">
        <w:rPr>
          <w:rFonts w:eastAsia="Calibri" w:cs="Arial"/>
          <w:b/>
          <w:sz w:val="20"/>
          <w:szCs w:val="20"/>
          <w:lang w:val="en-US"/>
        </w:rPr>
        <w:instrText xml:space="preserve"> SEQ Table \* ARABIC </w:instrText>
      </w:r>
      <w:r w:rsidRPr="00995C46">
        <w:rPr>
          <w:rFonts w:eastAsia="Calibri" w:cs="Arial"/>
          <w:b/>
          <w:sz w:val="20"/>
          <w:szCs w:val="20"/>
          <w:lang w:val="en-US"/>
        </w:rPr>
        <w:fldChar w:fldCharType="separate"/>
      </w:r>
      <w:r>
        <w:rPr>
          <w:rFonts w:eastAsia="Calibri" w:cs="Arial"/>
          <w:b/>
          <w:noProof/>
          <w:sz w:val="20"/>
          <w:szCs w:val="20"/>
          <w:lang w:val="en-US"/>
        </w:rPr>
        <w:t>4</w:t>
      </w:r>
      <w:r w:rsidRPr="00995C46">
        <w:rPr>
          <w:rFonts w:eastAsia="Calibri" w:cs="Arial"/>
          <w:b/>
          <w:sz w:val="20"/>
          <w:szCs w:val="20"/>
          <w:lang w:val="en-US"/>
        </w:rPr>
        <w:fldChar w:fldCharType="end"/>
      </w:r>
      <w:r w:rsidR="002B183E" w:rsidRPr="00BA53F6">
        <w:rPr>
          <w:b/>
          <w:bCs/>
          <w:sz w:val="20"/>
          <w:szCs w:val="20"/>
        </w:rPr>
        <w:t xml:space="preserve">: </w:t>
      </w:r>
      <w:r w:rsidR="00BA53F6">
        <w:rPr>
          <w:b/>
          <w:bCs/>
          <w:sz w:val="20"/>
          <w:szCs w:val="20"/>
        </w:rPr>
        <w:t xml:space="preserve">Regional EV Program: </w:t>
      </w:r>
      <w:r w:rsidR="00C21C88">
        <w:rPr>
          <w:b/>
          <w:bCs/>
          <w:sz w:val="20"/>
          <w:szCs w:val="20"/>
        </w:rPr>
        <w:t xml:space="preserve">Totals for the </w:t>
      </w:r>
      <w:r w:rsidR="00BA53F6" w:rsidRPr="00BA53F6">
        <w:rPr>
          <w:b/>
          <w:bCs/>
          <w:sz w:val="20"/>
          <w:szCs w:val="20"/>
        </w:rPr>
        <w:t>Staffing FTEs</w:t>
      </w:r>
      <w:r w:rsidR="00437CBD">
        <w:rPr>
          <w:b/>
          <w:bCs/>
          <w:sz w:val="20"/>
          <w:szCs w:val="20"/>
        </w:rPr>
        <w:t xml:space="preserve"> and </w:t>
      </w:r>
      <w:r w:rsidR="00BA53F6" w:rsidRPr="00BA53F6">
        <w:rPr>
          <w:b/>
          <w:bCs/>
          <w:sz w:val="20"/>
          <w:szCs w:val="20"/>
        </w:rPr>
        <w:t>Project Budget</w:t>
      </w:r>
      <w:r w:rsidR="00C21C88">
        <w:rPr>
          <w:b/>
          <w:bCs/>
          <w:sz w:val="20"/>
          <w:szCs w:val="20"/>
        </w:rPr>
        <w:t>.</w:t>
      </w:r>
    </w:p>
    <w:p w14:paraId="540C7729" w14:textId="77777777" w:rsidR="00F70BC7" w:rsidRDefault="00F70BC7" w:rsidP="00F70BC7">
      <w:pPr>
        <w:spacing w:after="0"/>
        <w:rPr>
          <w:b/>
          <w:bCs/>
          <w:sz w:val="20"/>
          <w:szCs w:val="20"/>
        </w:rPr>
      </w:pPr>
    </w:p>
    <w:p w14:paraId="7D443EAD" w14:textId="21348A18" w:rsidR="00823BC6" w:rsidRPr="00F614B5" w:rsidRDefault="00823BC6" w:rsidP="00F614B5">
      <w:pPr>
        <w:spacing w:after="0" w:line="216" w:lineRule="auto"/>
      </w:pPr>
      <w:r w:rsidRPr="00F614B5">
        <w:lastRenderedPageBreak/>
        <w:t>Again</w:t>
      </w:r>
      <w:r>
        <w:t>,</w:t>
      </w:r>
      <w:r w:rsidRPr="00F614B5">
        <w:t xml:space="preserve"> it is noted that the FTE and the operational budget of the Regional EV Coordinating Centre provides the essential starting block for the proposed Regional EV Program and that there is much that </w:t>
      </w:r>
      <w:r>
        <w:t xml:space="preserve">is expected to be </w:t>
      </w:r>
      <w:r w:rsidRPr="00F614B5">
        <w:t xml:space="preserve">achieved through this </w:t>
      </w:r>
      <w:r>
        <w:t xml:space="preserve">forming and operating such a centre with </w:t>
      </w:r>
      <w:r w:rsidRPr="00F614B5">
        <w:t xml:space="preserve">support from PICT </w:t>
      </w:r>
      <w:r w:rsidR="000438A1">
        <w:t>EV National Contacts</w:t>
      </w:r>
      <w:r w:rsidRPr="00F614B5">
        <w:t>. Any sponsorship on top of this adds to the Regional EV Program, and the target is for an additional US$1.5m in funding over five years (i.e., an average of US$300,000 per year)</w:t>
      </w:r>
      <w:r>
        <w:t xml:space="preserve"> which is expected to fill most of the significant gaps for the regions move to EVs.</w:t>
      </w:r>
    </w:p>
    <w:p w14:paraId="3E256A6F" w14:textId="77777777" w:rsidR="00C21C88" w:rsidRDefault="00C21C88" w:rsidP="00BA53F6">
      <w:pPr>
        <w:spacing w:after="0"/>
        <w:jc w:val="center"/>
        <w:rPr>
          <w:b/>
          <w:bCs/>
          <w:sz w:val="20"/>
          <w:szCs w:val="20"/>
        </w:rPr>
      </w:pPr>
    </w:p>
    <w:p w14:paraId="3C70FA44" w14:textId="77777777" w:rsidR="00871209" w:rsidRDefault="00871209" w:rsidP="004A1BC8">
      <w:pPr>
        <w:pStyle w:val="Heading2"/>
        <w:rPr>
          <w:rFonts w:asciiTheme="minorHAnsi" w:hAnsiTheme="minorHAnsi" w:cstheme="minorHAnsi"/>
          <w:b/>
          <w:bCs/>
          <w:color w:val="1F3864" w:themeColor="accent1" w:themeShade="80"/>
          <w:sz w:val="22"/>
          <w:szCs w:val="22"/>
        </w:rPr>
      </w:pPr>
      <w:bookmarkStart w:id="16" w:name="_Toc36839567"/>
      <w:r w:rsidRPr="004A1BC8">
        <w:rPr>
          <w:rFonts w:asciiTheme="minorHAnsi" w:hAnsiTheme="minorHAnsi" w:cstheme="minorHAnsi"/>
          <w:b/>
          <w:bCs/>
          <w:color w:val="1F3864" w:themeColor="accent1" w:themeShade="80"/>
          <w:sz w:val="22"/>
          <w:szCs w:val="22"/>
        </w:rPr>
        <w:t xml:space="preserve">Gender </w:t>
      </w:r>
      <w:r w:rsidR="004A1BC8" w:rsidRPr="004A1BC8">
        <w:rPr>
          <w:rFonts w:asciiTheme="minorHAnsi" w:hAnsiTheme="minorHAnsi" w:cstheme="minorHAnsi"/>
          <w:b/>
          <w:bCs/>
          <w:color w:val="1F3864" w:themeColor="accent1" w:themeShade="80"/>
          <w:sz w:val="22"/>
          <w:szCs w:val="22"/>
        </w:rPr>
        <w:t>Considerations</w:t>
      </w:r>
      <w:bookmarkEnd w:id="16"/>
    </w:p>
    <w:p w14:paraId="553DE9A7" w14:textId="62706BEA" w:rsidR="004A1BC8" w:rsidRDefault="005C730E" w:rsidP="00F614B5">
      <w:pPr>
        <w:spacing w:line="216" w:lineRule="auto"/>
      </w:pPr>
      <w:r>
        <w:t xml:space="preserve">There are many opportunities for the Regional EV Program to empower women, </w:t>
      </w:r>
      <w:r w:rsidR="007B2105">
        <w:t xml:space="preserve">as can be seen from </w:t>
      </w:r>
      <w:r>
        <w:t xml:space="preserve">the </w:t>
      </w:r>
      <w:r w:rsidR="007B2105">
        <w:t xml:space="preserve">fact that </w:t>
      </w:r>
      <w:r>
        <w:t xml:space="preserve">many women chair automotive companies and organisations involved in electric vehicles </w:t>
      </w:r>
      <w:r w:rsidR="00542A4A">
        <w:t xml:space="preserve">globally </w:t>
      </w:r>
      <w:r>
        <w:t>(for example, Christina Bu</w:t>
      </w:r>
      <w:r w:rsidR="00793A6F">
        <w:t xml:space="preserve">, Chair </w:t>
      </w:r>
      <w:r>
        <w:t>of the Norwegian Electric Vehicle Association</w:t>
      </w:r>
      <w:r w:rsidR="00793A6F">
        <w:t xml:space="preserve"> (the largest EV Association in the world)</w:t>
      </w:r>
      <w:r>
        <w:t xml:space="preserve">). </w:t>
      </w:r>
      <w:r w:rsidR="007B2105">
        <w:t>A</w:t>
      </w:r>
      <w:r w:rsidR="00793A6F">
        <w:t xml:space="preserve">cts </w:t>
      </w:r>
      <w:r w:rsidR="007B2105">
        <w:t xml:space="preserve">such as appointing women to leadership positions </w:t>
      </w:r>
      <w:r w:rsidR="00793A6F">
        <w:t>break down perceived gender barriers, which is important in the Pacific context due to the important role that women often play in decision</w:t>
      </w:r>
      <w:r w:rsidR="007B2105">
        <w:t>-</w:t>
      </w:r>
      <w:r w:rsidR="00793A6F">
        <w:t xml:space="preserve">making. This aspect should be considered when </w:t>
      </w:r>
      <w:r w:rsidR="007B2105">
        <w:t xml:space="preserve">filling </w:t>
      </w:r>
      <w:r w:rsidR="00793A6F">
        <w:t xml:space="preserve">the Regional EV </w:t>
      </w:r>
      <w:r w:rsidR="00EB462B">
        <w:t>Coordination Hub</w:t>
      </w:r>
      <w:r w:rsidR="00793A6F">
        <w:t xml:space="preserve"> and PICT Representative</w:t>
      </w:r>
      <w:r w:rsidR="007B2105">
        <w:t xml:space="preserve"> </w:t>
      </w:r>
      <w:r w:rsidR="00793A6F">
        <w:t xml:space="preserve">positions. </w:t>
      </w:r>
      <w:r w:rsidR="007B2105">
        <w:t>T</w:t>
      </w:r>
      <w:r w:rsidR="00793A6F">
        <w:t xml:space="preserve">he positions available can be part-FTEs, </w:t>
      </w:r>
      <w:r w:rsidR="007B2105">
        <w:t>which will make it possible</w:t>
      </w:r>
      <w:r w:rsidR="00793A6F">
        <w:t xml:space="preserve"> for women to </w:t>
      </w:r>
      <w:r w:rsidR="007B2105">
        <w:t>take them up</w:t>
      </w:r>
      <w:r w:rsidR="00793A6F">
        <w:t xml:space="preserve"> even if they have other responsibilities.  </w:t>
      </w:r>
    </w:p>
    <w:p w14:paraId="6BA660FF" w14:textId="77777777" w:rsidR="00E71085" w:rsidRPr="00FF7D24" w:rsidRDefault="00E71085" w:rsidP="00F614B5">
      <w:pPr>
        <w:spacing w:line="216" w:lineRule="auto"/>
        <w:rPr>
          <w:sz w:val="2"/>
          <w:szCs w:val="2"/>
        </w:rPr>
      </w:pPr>
    </w:p>
    <w:p w14:paraId="43399B89" w14:textId="77777777" w:rsidR="00A4297A" w:rsidRDefault="00CE601B" w:rsidP="00CE601B">
      <w:pPr>
        <w:pStyle w:val="Heading1"/>
        <w:rPr>
          <w:rFonts w:ascii="Calibri" w:hAnsi="Calibri" w:cs="Calibri"/>
          <w:b/>
          <w:color w:val="1F3864" w:themeColor="accent1" w:themeShade="80"/>
          <w:sz w:val="22"/>
          <w:szCs w:val="22"/>
        </w:rPr>
      </w:pPr>
      <w:bookmarkStart w:id="17" w:name="_Toc36839568"/>
      <w:r>
        <w:rPr>
          <w:rFonts w:ascii="Calibri" w:hAnsi="Calibri" w:cs="Calibri"/>
          <w:b/>
          <w:color w:val="1F3864" w:themeColor="accent1" w:themeShade="80"/>
          <w:sz w:val="22"/>
          <w:szCs w:val="22"/>
        </w:rPr>
        <w:t>Conclusions</w:t>
      </w:r>
      <w:bookmarkEnd w:id="17"/>
    </w:p>
    <w:p w14:paraId="4749765B" w14:textId="140458ED" w:rsidR="00142748" w:rsidRDefault="00142748" w:rsidP="00FF7D24">
      <w:pPr>
        <w:spacing w:before="120" w:after="120" w:line="216" w:lineRule="auto"/>
      </w:pPr>
      <w:r>
        <w:t xml:space="preserve">The </w:t>
      </w:r>
      <w:r w:rsidR="00A31479">
        <w:t xml:space="preserve">Regional EV Program </w:t>
      </w:r>
      <w:r>
        <w:t xml:space="preserve">would be best </w:t>
      </w:r>
      <w:r w:rsidR="00A31479">
        <w:t>supported by coordinated donor sponsorship</w:t>
      </w:r>
      <w:r>
        <w:t xml:space="preserve"> of various EV sub-projects (through Technology Assistance-type projects and by other methods) (and one function of the Regional EV </w:t>
      </w:r>
      <w:r w:rsidR="00EB462B">
        <w:t>Coordination Hub</w:t>
      </w:r>
      <w:r>
        <w:t xml:space="preserve"> is to arrange for the sponsorship of these sub-projects). </w:t>
      </w:r>
      <w:r w:rsidR="00542A4A">
        <w:t>This donor acceptance and then</w:t>
      </w:r>
      <w:r>
        <w:t xml:space="preserve"> delivery of proposed </w:t>
      </w:r>
      <w:r w:rsidR="00542A4A">
        <w:t>TA</w:t>
      </w:r>
      <w:r>
        <w:t xml:space="preserve"> activities can be thought more as a target than </w:t>
      </w:r>
      <w:r w:rsidR="00DC40AF">
        <w:t xml:space="preserve">as </w:t>
      </w:r>
      <w:r>
        <w:t xml:space="preserve">a reliance on receiving sponsorship </w:t>
      </w:r>
      <w:r w:rsidR="001278D2">
        <w:t xml:space="preserve">(and </w:t>
      </w:r>
      <w:r>
        <w:t xml:space="preserve">through </w:t>
      </w:r>
      <w:r w:rsidR="001278D2">
        <w:t xml:space="preserve">to </w:t>
      </w:r>
      <w:r>
        <w:t>delivery</w:t>
      </w:r>
      <w:r w:rsidR="001278D2">
        <w:t xml:space="preserve"> of the sub-projects)</w:t>
      </w:r>
      <w:r w:rsidR="00542A4A">
        <w:t xml:space="preserve">. Regardless, </w:t>
      </w:r>
      <w:r>
        <w:t xml:space="preserve">there is a need to form and operate a Regional EV Coordinating </w:t>
      </w:r>
      <w:r w:rsidR="00CA59A2">
        <w:t>Centre</w:t>
      </w:r>
      <w:r>
        <w:t xml:space="preserve"> to</w:t>
      </w:r>
      <w:r w:rsidR="00542A4A">
        <w:t xml:space="preserve"> help coordinate securing the proposed TAs and other EV sub-projects, and to then </w:t>
      </w:r>
      <w:r>
        <w:t xml:space="preserve">ensure best use of </w:t>
      </w:r>
      <w:r w:rsidR="00542A4A">
        <w:t>the outcomes of concluding sub-projects.</w:t>
      </w:r>
    </w:p>
    <w:p w14:paraId="684E4EC2" w14:textId="1C5105E3" w:rsidR="00871209" w:rsidRDefault="001278D2" w:rsidP="00FF7D24">
      <w:pPr>
        <w:spacing w:line="216" w:lineRule="auto"/>
      </w:pPr>
      <w:r>
        <w:t xml:space="preserve">The </w:t>
      </w:r>
      <w:r w:rsidR="00871209">
        <w:t xml:space="preserve">five-year </w:t>
      </w:r>
      <w:r>
        <w:t xml:space="preserve">results </w:t>
      </w:r>
      <w:r w:rsidR="00871209">
        <w:t>framework</w:t>
      </w:r>
      <w:r>
        <w:t xml:space="preserve"> indicated that a staffing level of around 3.0 FTEs was required</w:t>
      </w:r>
      <w:r w:rsidR="00871209">
        <w:t xml:space="preserve"> each year</w:t>
      </w:r>
      <w:r>
        <w:t xml:space="preserve"> for the Regional EV </w:t>
      </w:r>
      <w:r w:rsidR="00EB462B">
        <w:t>Coordination Hub</w:t>
      </w:r>
      <w:r w:rsidR="00871209">
        <w:t xml:space="preserve"> to deliver the recommended EV Program. On top of this</w:t>
      </w:r>
      <w:r w:rsidR="00DC40AF">
        <w:t>,</w:t>
      </w:r>
      <w:r w:rsidR="00871209">
        <w:t xml:space="preserve"> the Regional Coordinating </w:t>
      </w:r>
      <w:r w:rsidR="00CA59A2">
        <w:t>Centre</w:t>
      </w:r>
      <w:r w:rsidR="00871209">
        <w:t xml:space="preserve"> required operating capital of around US$55,000 per year (US$274,000 over five years) plus regional- or donor-sponsored contributions of around US$80,000 per year to support Regional Subject Experts and to provide for a proposed annual regional EV workshop.</w:t>
      </w:r>
      <w:r w:rsidR="0066650C">
        <w:t xml:space="preserve"> Significant cost-synergies can be created by linking the EV </w:t>
      </w:r>
      <w:r w:rsidR="00EB462B">
        <w:t>Coordination Hub</w:t>
      </w:r>
      <w:r w:rsidR="0066650C">
        <w:t xml:space="preserve"> to the capacities and resources of the PCREEE and the Energy Program of SPC. The PCREEE link offers opportunities to promote SIDS e-mobility on a global scale through the GN-SEC.  </w:t>
      </w:r>
      <w:r w:rsidR="007C0FF1">
        <w:t>There is also p</w:t>
      </w:r>
      <w:r w:rsidR="00C35493">
        <w:t xml:space="preserve">otential </w:t>
      </w:r>
      <w:r w:rsidR="007C0FF1">
        <w:t xml:space="preserve">for </w:t>
      </w:r>
      <w:r w:rsidR="00C35493">
        <w:t>extended technical and funding support from PCREEE</w:t>
      </w:r>
      <w:r w:rsidR="007C0FF1">
        <w:t>’s</w:t>
      </w:r>
      <w:r w:rsidR="00C35493">
        <w:t xml:space="preserve"> core partners (e.g. UNIDO, Austria, Norway)</w:t>
      </w:r>
      <w:r w:rsidR="007C0FF1">
        <w:t xml:space="preserve"> in addition to what could be mobilised through </w:t>
      </w:r>
      <w:r w:rsidR="00C35493">
        <w:t xml:space="preserve">traditional and emerging Pacific donors. </w:t>
      </w:r>
    </w:p>
    <w:p w14:paraId="1F30502E" w14:textId="77777777" w:rsidR="00CE601B" w:rsidRPr="00CE601B" w:rsidRDefault="00871209" w:rsidP="00FF7D24">
      <w:pPr>
        <w:spacing w:line="216" w:lineRule="auto"/>
      </w:pPr>
      <w:r>
        <w:t xml:space="preserve">It is recommended that the full Regional EV Program is additionally supported </w:t>
      </w:r>
      <w:r w:rsidR="00793A6F">
        <w:t xml:space="preserve">over five years </w:t>
      </w:r>
      <w:r w:rsidR="00DC40AF">
        <w:t xml:space="preserve">with </w:t>
      </w:r>
      <w:r>
        <w:t xml:space="preserve">US$610,000 of Technical Assistance projects and around US$500,000 of funding for two rounds of </w:t>
      </w:r>
      <w:r w:rsidR="00DC40AF">
        <w:t xml:space="preserve">a </w:t>
      </w:r>
      <w:r>
        <w:t xml:space="preserve">“contestable fund” </w:t>
      </w:r>
      <w:r w:rsidR="00DC40AF">
        <w:t>to be</w:t>
      </w:r>
      <w:r>
        <w:t xml:space="preserve"> used to support private investment in </w:t>
      </w:r>
      <w:r w:rsidR="00793A6F">
        <w:t xml:space="preserve">numerous </w:t>
      </w:r>
      <w:r>
        <w:t xml:space="preserve">EV-related infrastructure and </w:t>
      </w:r>
      <w:r w:rsidR="00793A6F">
        <w:t>d</w:t>
      </w:r>
      <w:r>
        <w:t>emonstration projects.</w:t>
      </w:r>
    </w:p>
    <w:p w14:paraId="1B80B72D" w14:textId="77777777" w:rsidR="00CE601B" w:rsidRDefault="00CE601B">
      <w:pPr>
        <w:rPr>
          <w:rFonts w:ascii="Calibri" w:eastAsiaTheme="majorEastAsia" w:hAnsi="Calibri" w:cs="Calibri"/>
          <w:b/>
          <w:color w:val="1F3864" w:themeColor="accent1" w:themeShade="80"/>
        </w:rPr>
      </w:pPr>
      <w:r>
        <w:rPr>
          <w:rFonts w:ascii="Calibri" w:hAnsi="Calibri" w:cs="Calibri"/>
          <w:b/>
          <w:color w:val="1F3864" w:themeColor="accent1" w:themeShade="80"/>
        </w:rPr>
        <w:br w:type="page"/>
      </w:r>
    </w:p>
    <w:p w14:paraId="33FFF13F" w14:textId="18153101" w:rsidR="00FA5818" w:rsidRPr="0008385C" w:rsidRDefault="0008385C" w:rsidP="0008385C">
      <w:pPr>
        <w:pStyle w:val="Heading1"/>
        <w:numPr>
          <w:ilvl w:val="0"/>
          <w:numId w:val="0"/>
        </w:numPr>
        <w:ind w:left="432" w:hanging="432"/>
        <w:jc w:val="center"/>
        <w:rPr>
          <w:rFonts w:ascii="Calibri" w:hAnsi="Calibri" w:cs="Calibri"/>
          <w:b/>
          <w:color w:val="1F3864" w:themeColor="accent1" w:themeShade="80"/>
          <w:sz w:val="22"/>
          <w:szCs w:val="22"/>
        </w:rPr>
      </w:pPr>
      <w:bookmarkStart w:id="18" w:name="_Toc36839569"/>
      <w:r w:rsidRPr="0008385C">
        <w:rPr>
          <w:rFonts w:ascii="Calibri" w:hAnsi="Calibri" w:cs="Calibri"/>
          <w:b/>
          <w:color w:val="1F3864" w:themeColor="accent1" w:themeShade="80"/>
          <w:sz w:val="22"/>
          <w:szCs w:val="22"/>
        </w:rPr>
        <w:lastRenderedPageBreak/>
        <w:t>Appendix A</w:t>
      </w:r>
      <w:r>
        <w:rPr>
          <w:rFonts w:ascii="Calibri" w:hAnsi="Calibri" w:cs="Calibri"/>
          <w:b/>
          <w:color w:val="1F3864" w:themeColor="accent1" w:themeShade="80"/>
          <w:sz w:val="22"/>
          <w:szCs w:val="22"/>
        </w:rPr>
        <w:t xml:space="preserve">: Recommended </w:t>
      </w:r>
      <w:r w:rsidR="00C416C7">
        <w:rPr>
          <w:rFonts w:ascii="Calibri" w:hAnsi="Calibri" w:cs="Calibri"/>
          <w:b/>
          <w:color w:val="1F3864" w:themeColor="accent1" w:themeShade="80"/>
          <w:sz w:val="22"/>
          <w:szCs w:val="22"/>
        </w:rPr>
        <w:t>Policy Act</w:t>
      </w:r>
      <w:r w:rsidR="000F5AC8">
        <w:rPr>
          <w:rFonts w:ascii="Calibri" w:hAnsi="Calibri" w:cs="Calibri"/>
          <w:b/>
          <w:color w:val="1F3864" w:themeColor="accent1" w:themeShade="80"/>
          <w:sz w:val="22"/>
          <w:szCs w:val="22"/>
        </w:rPr>
        <w:t>ions</w:t>
      </w:r>
      <w:r w:rsidR="000C769A">
        <w:rPr>
          <w:rFonts w:ascii="Calibri" w:hAnsi="Calibri" w:cs="Calibri"/>
          <w:b/>
          <w:color w:val="1F3864" w:themeColor="accent1" w:themeShade="80"/>
          <w:sz w:val="22"/>
          <w:szCs w:val="22"/>
        </w:rPr>
        <w:t xml:space="preserve"> of the Regional Policy for E-Mobility in PICTs</w:t>
      </w:r>
      <w:bookmarkEnd w:id="18"/>
      <w:r w:rsidR="000C769A">
        <w:rPr>
          <w:rFonts w:ascii="Calibri" w:hAnsi="Calibri" w:cs="Calibri"/>
          <w:b/>
          <w:color w:val="1F3864" w:themeColor="accent1" w:themeShade="80"/>
          <w:sz w:val="22"/>
          <w:szCs w:val="22"/>
        </w:rPr>
        <w:t xml:space="preserve"> </w:t>
      </w:r>
    </w:p>
    <w:p w14:paraId="7CD6C4B1" w14:textId="77777777" w:rsidR="0008385C" w:rsidRDefault="0008385C" w:rsidP="0008385C">
      <w:pPr>
        <w:spacing w:after="120" w:line="216" w:lineRule="auto"/>
        <w:rPr>
          <w:b/>
        </w:rPr>
      </w:pPr>
    </w:p>
    <w:p w14:paraId="5644AD17" w14:textId="30E2BC34" w:rsidR="0008385C" w:rsidRPr="0008385C" w:rsidRDefault="0008385C" w:rsidP="0008385C">
      <w:pPr>
        <w:spacing w:after="120" w:line="216" w:lineRule="auto"/>
        <w:rPr>
          <w:bCs/>
        </w:rPr>
      </w:pPr>
      <w:r w:rsidRPr="0008385C">
        <w:rPr>
          <w:bCs/>
        </w:rPr>
        <w:t>The recommended</w:t>
      </w:r>
      <w:r w:rsidR="000C769A">
        <w:rPr>
          <w:bCs/>
        </w:rPr>
        <w:t xml:space="preserve"> </w:t>
      </w:r>
      <w:r w:rsidR="00463781">
        <w:rPr>
          <w:bCs/>
        </w:rPr>
        <w:t xml:space="preserve">regional </w:t>
      </w:r>
      <w:r w:rsidR="00C22026">
        <w:rPr>
          <w:bCs/>
        </w:rPr>
        <w:t xml:space="preserve">and national </w:t>
      </w:r>
      <w:r w:rsidRPr="0008385C">
        <w:rPr>
          <w:bCs/>
        </w:rPr>
        <w:t>policy act</w:t>
      </w:r>
      <w:r w:rsidR="000F5AC8">
        <w:rPr>
          <w:bCs/>
        </w:rPr>
        <w:t>ions</w:t>
      </w:r>
      <w:r w:rsidRPr="0008385C">
        <w:rPr>
          <w:bCs/>
        </w:rPr>
        <w:t xml:space="preserve"> are:</w:t>
      </w:r>
    </w:p>
    <w:p w14:paraId="23B12FB0" w14:textId="77777777" w:rsidR="0008385C" w:rsidRPr="002F47F6" w:rsidRDefault="0008385C" w:rsidP="0008385C">
      <w:pPr>
        <w:spacing w:after="120" w:line="216" w:lineRule="auto"/>
        <w:rPr>
          <w:b/>
        </w:rPr>
      </w:pPr>
      <w:r w:rsidRPr="002F47F6">
        <w:rPr>
          <w:b/>
        </w:rPr>
        <w:t>Central Policy</w:t>
      </w:r>
      <w:r w:rsidR="00C22026">
        <w:rPr>
          <w:b/>
        </w:rPr>
        <w:t xml:space="preserve"> and Administration </w:t>
      </w:r>
      <w:r w:rsidRPr="002F47F6">
        <w:rPr>
          <w:b/>
        </w:rPr>
        <w:t xml:space="preserve"> </w:t>
      </w:r>
    </w:p>
    <w:p w14:paraId="5F7F2EBB" w14:textId="3B0B7D1B" w:rsidR="0008385C" w:rsidRPr="002F47F6" w:rsidRDefault="0008385C" w:rsidP="006131D6">
      <w:pPr>
        <w:pStyle w:val="ListParagraph"/>
        <w:numPr>
          <w:ilvl w:val="0"/>
          <w:numId w:val="11"/>
        </w:numPr>
        <w:spacing w:after="240" w:line="216" w:lineRule="auto"/>
        <w:ind w:left="1843" w:hanging="1559"/>
      </w:pPr>
      <w:bookmarkStart w:id="19" w:name="_Hlk36799998"/>
      <w:r w:rsidRPr="002F47F6">
        <w:t>Develop and put in place high-level</w:t>
      </w:r>
      <w:r w:rsidR="007737EA">
        <w:t xml:space="preserve"> targets and </w:t>
      </w:r>
      <w:r w:rsidRPr="002F47F6">
        <w:t>mandate</w:t>
      </w:r>
      <w:r w:rsidR="007737EA">
        <w:t>s</w:t>
      </w:r>
      <w:r w:rsidR="00C22026">
        <w:t xml:space="preserve"> </w:t>
      </w:r>
      <w:r w:rsidRPr="002F47F6">
        <w:t>concerning EV uptake.</w:t>
      </w:r>
    </w:p>
    <w:p w14:paraId="2D3093D3" w14:textId="57FD35F6" w:rsidR="000C769A" w:rsidRPr="002F47F6" w:rsidRDefault="000C769A" w:rsidP="006131D6">
      <w:pPr>
        <w:pStyle w:val="ListParagraph"/>
        <w:numPr>
          <w:ilvl w:val="0"/>
          <w:numId w:val="11"/>
        </w:numPr>
        <w:spacing w:after="240" w:line="216" w:lineRule="auto"/>
        <w:ind w:left="1843" w:hanging="1559"/>
      </w:pPr>
      <w:bookmarkStart w:id="20" w:name="_Hlk36799788"/>
      <w:r w:rsidRPr="000C769A">
        <w:t xml:space="preserve">Form a </w:t>
      </w:r>
      <w:r w:rsidR="007737EA">
        <w:t>R</w:t>
      </w:r>
      <w:r w:rsidRPr="000C769A">
        <w:t xml:space="preserve">egional EV </w:t>
      </w:r>
      <w:r w:rsidR="00EB462B">
        <w:t>Coordination Hub</w:t>
      </w:r>
      <w:r w:rsidRPr="000C769A">
        <w:t xml:space="preserve"> and </w:t>
      </w:r>
      <w:r w:rsidR="00D53636">
        <w:t>Working Group</w:t>
      </w:r>
      <w:r w:rsidRPr="000C769A">
        <w:t xml:space="preserve"> comprising national, regional and international key stakeholders responsible for quality assurance, harmonisation, coordination and implementation of work packages as well as information sharing. A regional monitoring framework to track progress will be operated by the </w:t>
      </w:r>
      <w:r w:rsidR="007737EA">
        <w:t xml:space="preserve">EV Regional </w:t>
      </w:r>
      <w:r w:rsidR="00EB462B">
        <w:t>Coordination Hub</w:t>
      </w:r>
      <w:r w:rsidRPr="000C769A">
        <w:t>.</w:t>
      </w:r>
    </w:p>
    <w:bookmarkEnd w:id="20"/>
    <w:p w14:paraId="3BA3E1F7" w14:textId="70490363" w:rsidR="0008385C" w:rsidRPr="002F47F6" w:rsidRDefault="0004236B" w:rsidP="006131D6">
      <w:pPr>
        <w:pStyle w:val="ListParagraph"/>
        <w:numPr>
          <w:ilvl w:val="0"/>
          <w:numId w:val="11"/>
        </w:numPr>
        <w:spacing w:after="240" w:line="216" w:lineRule="auto"/>
        <w:ind w:left="1843" w:hanging="1559"/>
      </w:pPr>
      <w:r>
        <w:t>Support PICTs in the development and implementation of EV roadmaps and required policies and regulations</w:t>
      </w:r>
      <w:r w:rsidR="000C769A">
        <w:t xml:space="preserve"> in line with the regional framework</w:t>
      </w:r>
      <w:r>
        <w:t xml:space="preserve">; </w:t>
      </w:r>
      <w:r w:rsidR="0008385C" w:rsidRPr="002F47F6">
        <w:t xml:space="preserve"> </w:t>
      </w:r>
    </w:p>
    <w:p w14:paraId="1920922E" w14:textId="77777777" w:rsidR="0008385C" w:rsidRPr="002F47F6" w:rsidRDefault="0008385C" w:rsidP="006131D6">
      <w:pPr>
        <w:pStyle w:val="ListParagraph"/>
        <w:numPr>
          <w:ilvl w:val="0"/>
          <w:numId w:val="11"/>
        </w:numPr>
        <w:spacing w:after="240" w:line="216" w:lineRule="auto"/>
        <w:ind w:left="1843" w:hanging="1559"/>
      </w:pPr>
      <w:r w:rsidRPr="002F47F6">
        <w:t>Consider import tax relief for compliant products, if applicable. Also consider the use of minimum specifications at the time of import to avoid the proliferation of poor-quality or unsupported product.</w:t>
      </w:r>
    </w:p>
    <w:p w14:paraId="1194B333" w14:textId="3C13D797" w:rsidR="0008385C" w:rsidRPr="002F47F6" w:rsidRDefault="0008385C" w:rsidP="006131D6">
      <w:pPr>
        <w:pStyle w:val="ListParagraph"/>
        <w:numPr>
          <w:ilvl w:val="0"/>
          <w:numId w:val="11"/>
        </w:numPr>
        <w:spacing w:after="240" w:line="216" w:lineRule="auto"/>
        <w:ind w:left="1843" w:hanging="1559"/>
      </w:pPr>
      <w:r w:rsidRPr="002F47F6">
        <w:t>Develop and set minimum specifications for goods, to be</w:t>
      </w:r>
      <w:r w:rsidR="0004236B">
        <w:t xml:space="preserve"> </w:t>
      </w:r>
      <w:r w:rsidRPr="002F47F6">
        <w:t>applied at the time of import (which may be linked to the tax levels applied). These are to include minimum standards for EVs, chargers and battery systems.</w:t>
      </w:r>
    </w:p>
    <w:p w14:paraId="10AB5FC1" w14:textId="4AB7A4EF" w:rsidR="0008385C" w:rsidRPr="002F47F6" w:rsidRDefault="0008385C" w:rsidP="006131D6">
      <w:pPr>
        <w:pStyle w:val="ListParagraph"/>
        <w:numPr>
          <w:ilvl w:val="0"/>
          <w:numId w:val="11"/>
        </w:numPr>
        <w:spacing w:after="240" w:line="216" w:lineRule="auto"/>
        <w:ind w:left="1843" w:hanging="1559"/>
      </w:pPr>
      <w:r w:rsidRPr="002F47F6">
        <w:t xml:space="preserve">Develop and deploy a monitoring and evaluation (M&amp;E) system </w:t>
      </w:r>
      <w:r w:rsidR="00711C56">
        <w:t>in order</w:t>
      </w:r>
      <w:r w:rsidRPr="002F47F6">
        <w:t xml:space="preserve"> to keep the policy </w:t>
      </w:r>
      <w:r w:rsidR="00463781">
        <w:t>aligned</w:t>
      </w:r>
      <w:r w:rsidR="00463781" w:rsidRPr="002F47F6">
        <w:t xml:space="preserve"> </w:t>
      </w:r>
      <w:r w:rsidRPr="002F47F6">
        <w:t>with changes in the political landscape, and with developments in technology. These management systems must also allow for re-evaluation and pivoting of activity direction and goals, if required to achieve the desired outcomes. Good governance is also required to instil efficient deployment and to also to prevent fraud, corruption and other damaging activities.</w:t>
      </w:r>
      <w:r w:rsidR="000C769A">
        <w:t xml:space="preserve"> This activity will be harmonised with regional </w:t>
      </w:r>
      <w:r w:rsidR="00987C6F">
        <w:t>monitoring</w:t>
      </w:r>
      <w:r w:rsidR="000C769A">
        <w:t xml:space="preserve"> framework</w:t>
      </w:r>
      <w:r w:rsidR="007737EA">
        <w:t>s</w:t>
      </w:r>
      <w:r w:rsidR="000C769A">
        <w:t>.</w:t>
      </w:r>
    </w:p>
    <w:p w14:paraId="198539BF" w14:textId="77777777" w:rsidR="0008385C" w:rsidRPr="002F47F6" w:rsidRDefault="0008385C" w:rsidP="006131D6">
      <w:pPr>
        <w:pStyle w:val="ListParagraph"/>
        <w:numPr>
          <w:ilvl w:val="0"/>
          <w:numId w:val="11"/>
        </w:numPr>
        <w:spacing w:after="240" w:line="216" w:lineRule="auto"/>
        <w:ind w:left="1843" w:hanging="1559"/>
      </w:pPr>
      <w:r w:rsidRPr="002F47F6">
        <w:t xml:space="preserve">As required, introduce and/or amend the regulatory framework to provide for EVs, including the registration of them for use on the roads, the charging of them, and other associated activities. </w:t>
      </w:r>
    </w:p>
    <w:bookmarkEnd w:id="19"/>
    <w:p w14:paraId="27050491" w14:textId="77777777" w:rsidR="0008385C" w:rsidRPr="002F47F6" w:rsidRDefault="0008385C" w:rsidP="0008385C">
      <w:pPr>
        <w:spacing w:after="120" w:line="216" w:lineRule="auto"/>
        <w:rPr>
          <w:b/>
        </w:rPr>
      </w:pPr>
      <w:r w:rsidRPr="002F47F6">
        <w:rPr>
          <w:b/>
        </w:rPr>
        <w:t>Mainstream (Passenger Car) Electric Vehicle Uptake:</w:t>
      </w:r>
    </w:p>
    <w:p w14:paraId="068D00A7" w14:textId="77777777" w:rsidR="0008385C" w:rsidRPr="002F47F6" w:rsidRDefault="0008385C" w:rsidP="006131D6">
      <w:pPr>
        <w:pStyle w:val="ListParagraph"/>
        <w:numPr>
          <w:ilvl w:val="0"/>
          <w:numId w:val="11"/>
        </w:numPr>
        <w:spacing w:after="240" w:line="216" w:lineRule="auto"/>
        <w:ind w:left="1843" w:hanging="1559"/>
      </w:pPr>
      <w:bookmarkStart w:id="21" w:name="_Hlk36801011"/>
      <w:r w:rsidRPr="002F47F6">
        <w:t>Set guidelines or requirements for charging including the specification of charging connectors and public charging guidelines to facilitate interoperability of electric vehicle charging (both fast and slow) and communicate these to vehicle suppliers and potential charging providers.</w:t>
      </w:r>
    </w:p>
    <w:p w14:paraId="6A5EAF34" w14:textId="77777777" w:rsidR="0008385C" w:rsidRPr="002F47F6" w:rsidRDefault="0008385C" w:rsidP="006131D6">
      <w:pPr>
        <w:pStyle w:val="ListParagraph"/>
        <w:numPr>
          <w:ilvl w:val="0"/>
          <w:numId w:val="11"/>
        </w:numPr>
        <w:spacing w:after="240" w:line="216" w:lineRule="auto"/>
        <w:ind w:left="1843" w:hanging="1559"/>
      </w:pPr>
      <w:r w:rsidRPr="002F47F6">
        <w:t>Undertake social marketing research to identify existing attitudes, level of understanding and information gaps around electric vehicles.</w:t>
      </w:r>
    </w:p>
    <w:p w14:paraId="4D7441FF" w14:textId="26F49FEB" w:rsidR="000C769A" w:rsidRPr="002F47F6" w:rsidRDefault="0008385C" w:rsidP="006131D6">
      <w:pPr>
        <w:pStyle w:val="ListParagraph"/>
        <w:numPr>
          <w:ilvl w:val="0"/>
          <w:numId w:val="11"/>
        </w:numPr>
        <w:spacing w:after="240" w:line="216" w:lineRule="auto"/>
        <w:ind w:left="1843" w:hanging="1559"/>
      </w:pPr>
      <w:r w:rsidRPr="002F47F6">
        <w:t>Awareness, information and promotion campaign: based on the findings of research, develop and deploy a campaign to inform all parties who will be involved in electric vehicle uptake, from potential purchasers and users through to service providers. This campaign is to include the development of information and guidance materials and provide the opportunity for people to experience and drive electric vehicles, particularly in areas where the technology is wholly novel. The tourist sector is an obvious target for these activities. These initiatives will require at least oversight by an independent authority to provide the necessary quality and robustness to gain the trust of those receiving the information. Ultimately, the goal of this phase is the “normalisation” of electric vehicles.</w:t>
      </w:r>
      <w:r w:rsidR="000C769A">
        <w:t xml:space="preserve"> </w:t>
      </w:r>
      <w:r w:rsidR="004B18A2">
        <w:t>Among other methods, i</w:t>
      </w:r>
      <w:r w:rsidR="000C769A" w:rsidRPr="000C769A">
        <w:t>nformation</w:t>
      </w:r>
      <w:r w:rsidR="000C769A">
        <w:t xml:space="preserve"> and data will be disseminated through </w:t>
      </w:r>
      <w:r w:rsidR="004B18A2">
        <w:t>a</w:t>
      </w:r>
      <w:r w:rsidR="000C769A">
        <w:t xml:space="preserve"> </w:t>
      </w:r>
      <w:r w:rsidR="000C769A" w:rsidRPr="000C769A">
        <w:t>PRDR-PCREEE Knowledge Hub</w:t>
      </w:r>
      <w:r w:rsidR="004B18A2">
        <w:t xml:space="preserve"> with </w:t>
      </w:r>
      <w:r w:rsidR="000C769A" w:rsidRPr="000C769A">
        <w:t xml:space="preserve">SIDS-SIDS cooperation </w:t>
      </w:r>
      <w:r w:rsidR="000C769A">
        <w:t xml:space="preserve">on EV island issues facilitated </w:t>
      </w:r>
      <w:r w:rsidR="000C769A" w:rsidRPr="000C769A">
        <w:t>through the GN-SEC;</w:t>
      </w:r>
    </w:p>
    <w:p w14:paraId="0014A0E4" w14:textId="77777777" w:rsidR="0008385C" w:rsidRPr="002F47F6" w:rsidRDefault="0008385C" w:rsidP="006131D6">
      <w:pPr>
        <w:pStyle w:val="ListParagraph"/>
        <w:numPr>
          <w:ilvl w:val="0"/>
          <w:numId w:val="11"/>
        </w:numPr>
        <w:spacing w:after="240" w:line="216" w:lineRule="auto"/>
        <w:ind w:left="1843" w:hanging="1559"/>
      </w:pPr>
      <w:r w:rsidRPr="002F47F6">
        <w:t>Facilitate or co-invest with providers of public charging infrastructure to develop this ahead of demand from EVs.  The extent to which public charging infrastructure is required, and what type of infrastructure (fast or slow) is needed will vary with the circumstances of individual PICTs. For example, where levels of solar PV uptake are high, daytime charging could be encouraged by providing slow public charging where people park during the day.</w:t>
      </w:r>
    </w:p>
    <w:p w14:paraId="326D08B8" w14:textId="77777777" w:rsidR="0008385C" w:rsidRPr="002F47F6" w:rsidRDefault="0008385C" w:rsidP="006131D6">
      <w:pPr>
        <w:pStyle w:val="ListParagraph"/>
        <w:numPr>
          <w:ilvl w:val="0"/>
          <w:numId w:val="11"/>
        </w:numPr>
        <w:spacing w:after="240" w:line="216" w:lineRule="auto"/>
        <w:ind w:left="1843" w:hanging="1559"/>
      </w:pPr>
      <w:r w:rsidRPr="002F47F6">
        <w:t>Provide leadership by purchasing appropriate electric vehicles for use in government and local government fleets.</w:t>
      </w:r>
    </w:p>
    <w:p w14:paraId="1BF45609" w14:textId="77777777" w:rsidR="0008385C" w:rsidRPr="002F47F6" w:rsidRDefault="0008385C" w:rsidP="006131D6">
      <w:pPr>
        <w:pStyle w:val="ListParagraph"/>
        <w:numPr>
          <w:ilvl w:val="0"/>
          <w:numId w:val="11"/>
        </w:numPr>
        <w:spacing w:after="240" w:line="216" w:lineRule="auto"/>
        <w:ind w:left="1843" w:hanging="1559"/>
      </w:pPr>
      <w:r w:rsidRPr="002F47F6">
        <w:lastRenderedPageBreak/>
        <w:t>Support the development of EV service industries and include consideration of methods to retain capability in the PICTs.</w:t>
      </w:r>
      <w:r w:rsidR="00D05A7E">
        <w:t xml:space="preserve"> Included in this, ensure</w:t>
      </w:r>
      <w:r w:rsidR="00D05A7E" w:rsidRPr="00D05A7E">
        <w:t xml:space="preserve"> that first responders are aware of correct procedures.</w:t>
      </w:r>
    </w:p>
    <w:p w14:paraId="07955A8F" w14:textId="77777777" w:rsidR="0008385C" w:rsidRPr="002F47F6" w:rsidRDefault="0008385C" w:rsidP="006131D6">
      <w:pPr>
        <w:pStyle w:val="ListParagraph"/>
        <w:numPr>
          <w:ilvl w:val="0"/>
          <w:numId w:val="11"/>
        </w:numPr>
        <w:spacing w:after="240" w:line="216" w:lineRule="auto"/>
        <w:ind w:left="1843" w:hanging="1559"/>
      </w:pPr>
      <w:r w:rsidRPr="002F47F6">
        <w:t xml:space="preserve">Support inspection of existing electrical supply circuits (for example, socket outlets that will be used at home and at work) before they are used for charging electric vehicles. </w:t>
      </w:r>
    </w:p>
    <w:p w14:paraId="07BFD7C6" w14:textId="77777777" w:rsidR="0008385C" w:rsidRPr="002F47F6" w:rsidRDefault="0008385C" w:rsidP="006131D6">
      <w:pPr>
        <w:pStyle w:val="ListParagraph"/>
        <w:numPr>
          <w:ilvl w:val="0"/>
          <w:numId w:val="11"/>
        </w:numPr>
        <w:spacing w:after="240" w:line="216" w:lineRule="auto"/>
        <w:ind w:left="1843" w:hanging="1559"/>
      </w:pPr>
      <w:r w:rsidRPr="002F47F6">
        <w:t>Support inspection of charging cables supplied with used EV passenger car imports to ensure they are compatible with the local electricity network (noting that in Japan, charging cables are typically designed to operate at the local residential electric</w:t>
      </w:r>
      <w:r w:rsidR="00675BF3">
        <w:t>al</w:t>
      </w:r>
      <w:r w:rsidRPr="002F47F6">
        <w:t xml:space="preserve"> supply of 110V, whereas residential electric</w:t>
      </w:r>
      <w:r w:rsidR="00675BF3">
        <w:t>al</w:t>
      </w:r>
      <w:r w:rsidRPr="002F47F6">
        <w:t xml:space="preserve"> supply in many PICTs operate at </w:t>
      </w:r>
      <w:r w:rsidR="00675BF3">
        <w:t xml:space="preserve">the </w:t>
      </w:r>
      <w:r w:rsidRPr="002F47F6">
        <w:t xml:space="preserve">higher 220-240V, and </w:t>
      </w:r>
      <w:r w:rsidR="00675BF3">
        <w:t>an influx</w:t>
      </w:r>
      <w:r w:rsidRPr="002F47F6">
        <w:t xml:space="preserve"> of used EVs from Japan </w:t>
      </w:r>
      <w:r w:rsidR="00675BF3">
        <w:t>will</w:t>
      </w:r>
      <w:r w:rsidRPr="002F47F6">
        <w:t xml:space="preserve"> potential</w:t>
      </w:r>
      <w:r w:rsidR="00675BF3">
        <w:t>ly</w:t>
      </w:r>
      <w:r w:rsidRPr="002F47F6">
        <w:t xml:space="preserve"> introduce chargers that are not approved for use in PICTs).  </w:t>
      </w:r>
    </w:p>
    <w:p w14:paraId="65C586C4" w14:textId="77777777" w:rsidR="0008385C" w:rsidRPr="002F47F6" w:rsidRDefault="0008385C" w:rsidP="006131D6">
      <w:pPr>
        <w:pStyle w:val="ListParagraph"/>
        <w:numPr>
          <w:ilvl w:val="0"/>
          <w:numId w:val="11"/>
        </w:numPr>
        <w:spacing w:after="240" w:line="216" w:lineRule="auto"/>
        <w:ind w:left="1843" w:hanging="1559"/>
      </w:pPr>
      <w:r w:rsidRPr="002F47F6">
        <w:t xml:space="preserve">Require new buildings with parking facilities to be “EV-ready” by ensuring sufficient capacity at switchboards and easy routes for cabling. </w:t>
      </w:r>
    </w:p>
    <w:p w14:paraId="65D0041D" w14:textId="77777777" w:rsidR="0008385C" w:rsidRPr="002F47F6" w:rsidRDefault="0008385C" w:rsidP="006131D6">
      <w:pPr>
        <w:pStyle w:val="ListParagraph"/>
        <w:numPr>
          <w:ilvl w:val="0"/>
          <w:numId w:val="11"/>
        </w:numPr>
        <w:spacing w:after="240" w:line="216" w:lineRule="auto"/>
        <w:ind w:left="1843" w:hanging="1559"/>
      </w:pPr>
      <w:r w:rsidRPr="002F47F6">
        <w:t xml:space="preserve">Ensure appropriate plans are in place for the retirement of EVs and associated componentry, including maintaining a watching brief on global developments concerning tracking the ownership of propulsion batteries, their repurposing and recycling.   </w:t>
      </w:r>
    </w:p>
    <w:bookmarkEnd w:id="21"/>
    <w:p w14:paraId="783AB07D" w14:textId="77777777" w:rsidR="0008385C" w:rsidRPr="002F47F6" w:rsidRDefault="0008385C" w:rsidP="0008385C">
      <w:pPr>
        <w:spacing w:before="240" w:after="120" w:line="216" w:lineRule="auto"/>
        <w:rPr>
          <w:b/>
        </w:rPr>
      </w:pPr>
      <w:r w:rsidRPr="002F47F6">
        <w:rPr>
          <w:b/>
        </w:rPr>
        <w:t xml:space="preserve">Low Voltage E-Mobility  </w:t>
      </w:r>
    </w:p>
    <w:p w14:paraId="7E919116" w14:textId="77777777" w:rsidR="0008385C" w:rsidRPr="002F47F6" w:rsidRDefault="0008385C" w:rsidP="006131D6">
      <w:pPr>
        <w:pStyle w:val="ListParagraph"/>
        <w:numPr>
          <w:ilvl w:val="0"/>
          <w:numId w:val="11"/>
        </w:numPr>
        <w:spacing w:after="240" w:line="216" w:lineRule="auto"/>
        <w:ind w:left="1843" w:hanging="1559"/>
      </w:pPr>
      <w:r w:rsidRPr="002F47F6">
        <w:t>Develop and introduce standardi</w:t>
      </w:r>
      <w:r w:rsidR="00675BF3">
        <w:t>z</w:t>
      </w:r>
      <w:r w:rsidRPr="002F47F6">
        <w:t>ation measures, ranging from guidelines through mandatory standards, including minimum performance specifications and/or standards aimed at making e-mobility easier to access, more convenient</w:t>
      </w:r>
      <w:r w:rsidR="00675BF3">
        <w:t xml:space="preserve"> and at </w:t>
      </w:r>
      <w:r w:rsidR="00675BF3" w:rsidRPr="002F47F6">
        <w:t>lower cost</w:t>
      </w:r>
      <w:r w:rsidRPr="002F47F6">
        <w:t>; to ensure product quality and reliability; and avoid incompatibility issues leading to product failure.</w:t>
      </w:r>
      <w:r>
        <w:t xml:space="preserve"> (The Sustainable Energy Industry Association of the Pacific Islands provides guidelines for PV use and </w:t>
      </w:r>
      <w:r w:rsidR="00675BF3">
        <w:t xml:space="preserve">for </w:t>
      </w:r>
      <w:r>
        <w:t>many other energy systems</w:t>
      </w:r>
      <w:r>
        <w:rPr>
          <w:rStyle w:val="FootnoteReference"/>
        </w:rPr>
        <w:footnoteReference w:id="10"/>
      </w:r>
      <w:r>
        <w:t xml:space="preserve">, and provides a good example of the sort of guidelines that could be developed for low-voltage e-mobility and electricity supply.)    </w:t>
      </w:r>
    </w:p>
    <w:p w14:paraId="3177E591" w14:textId="77777777" w:rsidR="0008385C" w:rsidRPr="000C769A" w:rsidRDefault="0008385C" w:rsidP="006131D6">
      <w:pPr>
        <w:pStyle w:val="ListParagraph"/>
        <w:numPr>
          <w:ilvl w:val="0"/>
          <w:numId w:val="11"/>
        </w:numPr>
        <w:spacing w:after="240" w:line="216" w:lineRule="auto"/>
        <w:ind w:left="1843" w:hanging="1559"/>
      </w:pPr>
      <w:r w:rsidRPr="000C769A">
        <w:t>Encourage the industry to provide quality, well-supported product</w:t>
      </w:r>
      <w:r w:rsidR="00463781" w:rsidRPr="000C769A">
        <w:t>s</w:t>
      </w:r>
      <w:r w:rsidRPr="000C769A">
        <w:t xml:space="preserve"> through promotion of suppliers and product, possibly including the use of quality marks and customer feedback forums.</w:t>
      </w:r>
    </w:p>
    <w:p w14:paraId="5FAEA6CB" w14:textId="77777777" w:rsidR="0008385C" w:rsidRPr="002F47F6" w:rsidRDefault="0008385C" w:rsidP="006131D6">
      <w:pPr>
        <w:pStyle w:val="ListParagraph"/>
        <w:numPr>
          <w:ilvl w:val="0"/>
          <w:numId w:val="11"/>
        </w:numPr>
        <w:spacing w:after="240" w:line="216" w:lineRule="auto"/>
        <w:ind w:left="1843" w:hanging="1559"/>
      </w:pPr>
      <w:r w:rsidRPr="002F47F6">
        <w:t xml:space="preserve">Develop and introduce technical courses on low-voltage technologies (these also supporting greater understanding of mainstream EV technologies). </w:t>
      </w:r>
    </w:p>
    <w:p w14:paraId="4A419FA6" w14:textId="77777777" w:rsidR="0008385C" w:rsidRPr="002F47F6" w:rsidRDefault="0008385C" w:rsidP="006131D6">
      <w:pPr>
        <w:pStyle w:val="ListParagraph"/>
        <w:numPr>
          <w:ilvl w:val="0"/>
          <w:numId w:val="11"/>
        </w:numPr>
        <w:spacing w:after="240" w:line="216" w:lineRule="auto"/>
        <w:ind w:left="1843" w:hanging="1559"/>
      </w:pPr>
      <w:r w:rsidRPr="002F47F6">
        <w:t>Provide guidance and/or develop regulations to manage the maximum speed/power of low</w:t>
      </w:r>
      <w:r w:rsidR="008A796B">
        <w:t>-</w:t>
      </w:r>
      <w:r w:rsidRPr="002F47F6">
        <w:t>voltage e-mobility devices that can be imported, and which types of roading/footpaths/cycleways they can operate on, to manage road safety.</w:t>
      </w:r>
    </w:p>
    <w:p w14:paraId="52967E57" w14:textId="77777777" w:rsidR="0008385C" w:rsidRPr="002F47F6" w:rsidRDefault="0008385C" w:rsidP="006131D6">
      <w:pPr>
        <w:pStyle w:val="ListParagraph"/>
        <w:numPr>
          <w:ilvl w:val="0"/>
          <w:numId w:val="11"/>
        </w:numPr>
        <w:spacing w:after="240" w:line="216" w:lineRule="auto"/>
        <w:ind w:left="1843" w:hanging="1559"/>
      </w:pPr>
      <w:r w:rsidRPr="002F47F6">
        <w:t>Provide guidance on hiring/buying and using low</w:t>
      </w:r>
      <w:r w:rsidR="008A796B">
        <w:t>-</w:t>
      </w:r>
      <w:r w:rsidRPr="002F47F6">
        <w:t>voltage e-mobility options to promote fit-for-purpose user selection and effective use of e-mobility options</w:t>
      </w:r>
    </w:p>
    <w:p w14:paraId="7279C40B" w14:textId="77777777" w:rsidR="0008385C" w:rsidRPr="002F47F6" w:rsidRDefault="0008385C" w:rsidP="006131D6">
      <w:pPr>
        <w:pStyle w:val="ListParagraph"/>
        <w:numPr>
          <w:ilvl w:val="0"/>
          <w:numId w:val="11"/>
        </w:numPr>
        <w:spacing w:after="240" w:line="216" w:lineRule="auto"/>
        <w:ind w:left="1843" w:hanging="1559"/>
      </w:pPr>
      <w:r w:rsidRPr="002F47F6">
        <w:t xml:space="preserve">Demonstrate leadership by providing facilities where government and local government staff can park and charge their e-mobility devices, and promote these to staff. Also provide public </w:t>
      </w:r>
      <w:r w:rsidRPr="0008385C">
        <w:t>facilities.</w:t>
      </w:r>
      <w:r w:rsidRPr="002F47F6">
        <w:t xml:space="preserve"> </w:t>
      </w:r>
    </w:p>
    <w:p w14:paraId="4462BE2D" w14:textId="77777777" w:rsidR="0008385C" w:rsidRPr="002F47F6" w:rsidRDefault="0008385C" w:rsidP="0008385C">
      <w:pPr>
        <w:spacing w:after="120" w:line="216" w:lineRule="auto"/>
        <w:rPr>
          <w:b/>
        </w:rPr>
      </w:pPr>
      <w:r w:rsidRPr="002F47F6">
        <w:rPr>
          <w:b/>
        </w:rPr>
        <w:t>Other Electric Vehicle Uptake:</w:t>
      </w:r>
    </w:p>
    <w:p w14:paraId="1B2698A5" w14:textId="77777777" w:rsidR="0008385C" w:rsidRPr="002F47F6" w:rsidRDefault="0008385C" w:rsidP="006131D6">
      <w:pPr>
        <w:pStyle w:val="ListParagraph"/>
        <w:numPr>
          <w:ilvl w:val="0"/>
          <w:numId w:val="11"/>
        </w:numPr>
        <w:spacing w:after="240" w:line="216" w:lineRule="auto"/>
        <w:ind w:left="1843" w:hanging="1559"/>
      </w:pPr>
      <w:r w:rsidRPr="002F47F6">
        <w:t>Support PICT-relevant, heavy electric vehicle demonstrations, but carefully consider target applications (should be scalable) and timing (a delay of 2-3 years may not have a significant effect on the five-year outcome for PICTs, but would carry far less risk and require less financial support).</w:t>
      </w:r>
    </w:p>
    <w:p w14:paraId="32BAB2AE" w14:textId="77777777" w:rsidR="0008385C" w:rsidRPr="002F47F6" w:rsidRDefault="0008385C" w:rsidP="006131D6">
      <w:pPr>
        <w:pStyle w:val="ListParagraph"/>
        <w:numPr>
          <w:ilvl w:val="0"/>
          <w:numId w:val="11"/>
        </w:numPr>
        <w:spacing w:after="240" w:line="216" w:lineRule="auto"/>
        <w:ind w:left="1843" w:hanging="1559"/>
      </w:pPr>
      <w:r w:rsidRPr="002F47F6">
        <w:t>Consider amalgamating various heavy vehicle projects or otherwise to share set-up costs.</w:t>
      </w:r>
    </w:p>
    <w:p w14:paraId="3F6594A7" w14:textId="77777777" w:rsidR="0008385C" w:rsidRPr="002F47F6" w:rsidRDefault="0008385C" w:rsidP="006131D6">
      <w:pPr>
        <w:pStyle w:val="ListParagraph"/>
        <w:numPr>
          <w:ilvl w:val="0"/>
          <w:numId w:val="11"/>
        </w:numPr>
        <w:spacing w:after="240" w:line="216" w:lineRule="auto"/>
        <w:ind w:left="1843" w:hanging="1559"/>
      </w:pPr>
      <w:r w:rsidRPr="002F47F6">
        <w:t>Provide leadership by demonstrating appropriate heavy electric vehicles where government or local government operates heavy vehicles.</w:t>
      </w:r>
    </w:p>
    <w:p w14:paraId="3704A389" w14:textId="77777777" w:rsidR="0008385C" w:rsidRPr="002F47F6" w:rsidRDefault="0008385C" w:rsidP="006131D6">
      <w:pPr>
        <w:pStyle w:val="ListParagraph"/>
        <w:numPr>
          <w:ilvl w:val="0"/>
          <w:numId w:val="11"/>
        </w:numPr>
        <w:spacing w:after="240" w:line="216" w:lineRule="auto"/>
        <w:ind w:left="1843" w:hanging="1559"/>
      </w:pPr>
      <w:r w:rsidRPr="002F47F6">
        <w:t>Work with tourism operators and national park authorities to identify opportunities to demonstrate electric marine vessels, particularly in environmentally sensitive areas, and support such demonstration projects. Also consider the (low</w:t>
      </w:r>
      <w:r w:rsidR="008A796B">
        <w:t>-</w:t>
      </w:r>
      <w:r w:rsidRPr="002F47F6">
        <w:t>voltage) electrification of small fishing vessels.</w:t>
      </w:r>
    </w:p>
    <w:p w14:paraId="48028294" w14:textId="77777777" w:rsidR="0008385C" w:rsidRPr="002F47F6" w:rsidRDefault="0008385C" w:rsidP="0008385C">
      <w:pPr>
        <w:spacing w:before="240" w:after="120" w:line="216" w:lineRule="auto"/>
        <w:rPr>
          <w:b/>
        </w:rPr>
      </w:pPr>
      <w:r w:rsidRPr="002F47F6">
        <w:rPr>
          <w:b/>
        </w:rPr>
        <w:lastRenderedPageBreak/>
        <w:t>TOU Pricing:</w:t>
      </w:r>
    </w:p>
    <w:p w14:paraId="2358505E" w14:textId="77777777" w:rsidR="0008385C" w:rsidRPr="002F47F6" w:rsidRDefault="0008385C" w:rsidP="006131D6">
      <w:pPr>
        <w:pStyle w:val="ListParagraph"/>
        <w:numPr>
          <w:ilvl w:val="0"/>
          <w:numId w:val="11"/>
        </w:numPr>
        <w:spacing w:after="240" w:line="216" w:lineRule="auto"/>
        <w:ind w:left="1843" w:hanging="1559"/>
      </w:pPr>
      <w:r w:rsidRPr="002F47F6">
        <w:t>Facilitate the introduction of TOU pricing, including supporting techno-economic assessments of TOU pricing use for grid supply on PICT main islands, a workshop on TOU pricing delivered by overseas- and PICT-based experts, and follow-up support to electricity supply companies that are expected to benefit from deploying TOU pricing systems.</w:t>
      </w:r>
    </w:p>
    <w:p w14:paraId="0E0FEF82" w14:textId="77777777" w:rsidR="0008385C" w:rsidRPr="002F47F6" w:rsidRDefault="0008385C" w:rsidP="006131D6">
      <w:pPr>
        <w:pStyle w:val="ListParagraph"/>
        <w:numPr>
          <w:ilvl w:val="0"/>
          <w:numId w:val="11"/>
        </w:numPr>
        <w:spacing w:after="240" w:line="216" w:lineRule="auto"/>
        <w:ind w:left="1843" w:hanging="1559"/>
      </w:pPr>
      <w:r w:rsidRPr="002F47F6">
        <w:t>Consider amalgamating orders for TOU equipment and services to attract more favourable responses to tenders.</w:t>
      </w:r>
    </w:p>
    <w:p w14:paraId="1463FB09" w14:textId="7E53407F" w:rsidR="0008385C" w:rsidRPr="002F47F6" w:rsidRDefault="0008385C" w:rsidP="006131D6">
      <w:pPr>
        <w:pStyle w:val="ListParagraph"/>
        <w:numPr>
          <w:ilvl w:val="0"/>
          <w:numId w:val="11"/>
        </w:numPr>
        <w:spacing w:after="240" w:line="216" w:lineRule="auto"/>
        <w:ind w:left="1843" w:hanging="1559"/>
      </w:pPr>
      <w:r w:rsidRPr="002F47F6">
        <w:t>For locations enabled through the deployment of TOU or smart</w:t>
      </w:r>
      <w:r w:rsidR="00C44763">
        <w:t xml:space="preserve"> </w:t>
      </w:r>
      <w:r w:rsidRPr="002F47F6">
        <w:t xml:space="preserve">meters, support the development and deployment of awareness campaigns to electricity consumers so that they are aware of how best to use TOU charging. </w:t>
      </w:r>
    </w:p>
    <w:p w14:paraId="5AA25392" w14:textId="77777777" w:rsidR="0008385C" w:rsidRPr="002F47F6" w:rsidRDefault="0008385C" w:rsidP="006131D6">
      <w:pPr>
        <w:pStyle w:val="ListParagraph"/>
        <w:numPr>
          <w:ilvl w:val="0"/>
          <w:numId w:val="11"/>
        </w:numPr>
        <w:spacing w:after="240" w:line="216" w:lineRule="auto"/>
        <w:ind w:left="1843" w:hanging="1559"/>
      </w:pPr>
      <w:r w:rsidRPr="002F47F6">
        <w:t>Provide guidance on monitoring customer response and use of data to manage pricing and the need for ongoing customer education.</w:t>
      </w:r>
    </w:p>
    <w:p w14:paraId="206CF6EF" w14:textId="77777777" w:rsidR="0008385C" w:rsidRPr="002F47F6" w:rsidRDefault="0008385C" w:rsidP="006131D6">
      <w:pPr>
        <w:pStyle w:val="ListParagraph"/>
        <w:numPr>
          <w:ilvl w:val="0"/>
          <w:numId w:val="11"/>
        </w:numPr>
        <w:spacing w:after="240" w:line="216" w:lineRule="auto"/>
        <w:ind w:left="1843" w:hanging="1559"/>
      </w:pPr>
      <w:r w:rsidRPr="002F47F6">
        <w:t xml:space="preserve">Provide leadership </w:t>
      </w:r>
      <w:r w:rsidR="00C44763">
        <w:t>through</w:t>
      </w:r>
      <w:r w:rsidR="00C44763" w:rsidRPr="002F47F6">
        <w:t xml:space="preserve"> </w:t>
      </w:r>
      <w:r w:rsidRPr="002F47F6">
        <w:t xml:space="preserve">government and local government being early adopters of smart meters and time of use pricing in </w:t>
      </w:r>
      <w:r w:rsidR="00C44763">
        <w:t>their</w:t>
      </w:r>
      <w:r w:rsidR="00C44763" w:rsidRPr="002F47F6">
        <w:t xml:space="preserve"> </w:t>
      </w:r>
      <w:r w:rsidRPr="002F47F6">
        <w:t>facilities as this becomes available.</w:t>
      </w:r>
    </w:p>
    <w:p w14:paraId="0F4A0213" w14:textId="77777777" w:rsidR="0008385C" w:rsidRPr="002F47F6" w:rsidRDefault="0008385C" w:rsidP="0008385C">
      <w:pPr>
        <w:spacing w:before="240" w:after="120" w:line="216" w:lineRule="auto"/>
        <w:rPr>
          <w:b/>
        </w:rPr>
      </w:pPr>
      <w:r w:rsidRPr="002F47F6">
        <w:rPr>
          <w:b/>
        </w:rPr>
        <w:t xml:space="preserve">Low-Voltage Power Supply: </w:t>
      </w:r>
    </w:p>
    <w:p w14:paraId="253E3ED0" w14:textId="77777777" w:rsidR="0008385C" w:rsidRPr="002F47F6" w:rsidRDefault="0008385C" w:rsidP="006131D6">
      <w:pPr>
        <w:pStyle w:val="ListParagraph"/>
        <w:numPr>
          <w:ilvl w:val="0"/>
          <w:numId w:val="11"/>
        </w:numPr>
        <w:spacing w:after="240" w:line="216" w:lineRule="auto"/>
        <w:ind w:left="1843" w:hanging="1559"/>
      </w:pPr>
      <w:r w:rsidRPr="002F47F6">
        <w:t xml:space="preserve">Develop guidelines for system design, component specification, installation and use of low-voltage electricity generation for various PICT scenarios. </w:t>
      </w:r>
    </w:p>
    <w:p w14:paraId="5FFC75F8" w14:textId="77777777" w:rsidR="0008385C" w:rsidRPr="002F47F6" w:rsidRDefault="0008385C" w:rsidP="006131D6">
      <w:pPr>
        <w:pStyle w:val="ListParagraph"/>
        <w:numPr>
          <w:ilvl w:val="0"/>
          <w:numId w:val="11"/>
        </w:numPr>
        <w:spacing w:after="240" w:line="216" w:lineRule="auto"/>
        <w:ind w:left="1843" w:hanging="1559"/>
      </w:pPr>
      <w:r w:rsidRPr="002F47F6">
        <w:t>Develop voluntary standards and support service requirements, and encourage compliance with them. Options for the latter include a compliance- and/or a customer feedback-rating system, and support and advertising provided where the equipment, supplier and/or service providers meet minimum requirements.</w:t>
      </w:r>
    </w:p>
    <w:p w14:paraId="7346A513" w14:textId="77777777" w:rsidR="0008385C" w:rsidRPr="002F47F6" w:rsidRDefault="0008385C" w:rsidP="0008385C">
      <w:pPr>
        <w:spacing w:after="120" w:line="216" w:lineRule="auto"/>
        <w:rPr>
          <w:b/>
        </w:rPr>
      </w:pPr>
      <w:r w:rsidRPr="002F47F6">
        <w:rPr>
          <w:b/>
        </w:rPr>
        <w:t>V2H and on-site managed charging:</w:t>
      </w:r>
    </w:p>
    <w:p w14:paraId="7837BF03" w14:textId="77777777" w:rsidR="0008385C" w:rsidRPr="002F47F6" w:rsidRDefault="0008385C" w:rsidP="006131D6">
      <w:pPr>
        <w:pStyle w:val="ListParagraph"/>
        <w:numPr>
          <w:ilvl w:val="0"/>
          <w:numId w:val="11"/>
        </w:numPr>
        <w:spacing w:after="240" w:line="216" w:lineRule="auto"/>
        <w:ind w:left="1843" w:hanging="1559"/>
      </w:pPr>
      <w:r w:rsidRPr="002F47F6">
        <w:t>Develop guidelines for the use of V2H and on-site managed charging that includes descriptions of case-study systems and the performance achieved with these (which will thus require a number of demonstration V2H and on-site managed charging projects to be undertaken). Also include the obligation that installers must meet wiring regulations and any post-works inspection requirements.</w:t>
      </w:r>
    </w:p>
    <w:p w14:paraId="0DA7D2B3" w14:textId="77777777" w:rsidR="0008385C" w:rsidRPr="002F47F6" w:rsidRDefault="0008385C" w:rsidP="006131D6">
      <w:pPr>
        <w:pStyle w:val="ListParagraph"/>
        <w:numPr>
          <w:ilvl w:val="0"/>
          <w:numId w:val="11"/>
        </w:numPr>
        <w:spacing w:after="240" w:line="216" w:lineRule="auto"/>
        <w:ind w:left="1843" w:hanging="1559"/>
      </w:pPr>
      <w:r w:rsidRPr="002F47F6">
        <w:t>Develop voluntary standards for minimum specifications and encourage the</w:t>
      </w:r>
      <w:r w:rsidR="00C44763">
        <w:t>ir</w:t>
      </w:r>
      <w:r w:rsidRPr="002F47F6">
        <w:t xml:space="preserve"> use through advertising equipment or service providers that meet the standards and/or through use of quality marks for compliant product and service providers.</w:t>
      </w:r>
    </w:p>
    <w:p w14:paraId="7A4AD333" w14:textId="77777777" w:rsidR="0008385C" w:rsidRPr="000C48B8" w:rsidRDefault="0008385C" w:rsidP="006131D6">
      <w:pPr>
        <w:pStyle w:val="ListParagraph"/>
        <w:numPr>
          <w:ilvl w:val="0"/>
          <w:numId w:val="11"/>
        </w:numPr>
        <w:spacing w:after="240" w:line="216" w:lineRule="auto"/>
        <w:ind w:left="1843" w:hanging="1559"/>
      </w:pPr>
      <w:r w:rsidRPr="002F47F6">
        <w:t xml:space="preserve">Show leadership by deploying on-site managed charging where there are government and local government fleets with electric vehicles. </w:t>
      </w:r>
    </w:p>
    <w:p w14:paraId="239531E2" w14:textId="77777777" w:rsidR="0008385C" w:rsidRPr="000C48B8" w:rsidRDefault="0008385C" w:rsidP="0008385C">
      <w:pPr>
        <w:spacing w:after="120" w:line="216" w:lineRule="auto"/>
      </w:pPr>
      <w:r w:rsidRPr="002F47F6">
        <w:rPr>
          <w:b/>
        </w:rPr>
        <w:t>V2G and grid-scale managed charging:</w:t>
      </w:r>
    </w:p>
    <w:p w14:paraId="2DA76360" w14:textId="2929488A" w:rsidR="002222C0" w:rsidRDefault="0008385C" w:rsidP="006131D6">
      <w:pPr>
        <w:pStyle w:val="ListParagraph"/>
        <w:numPr>
          <w:ilvl w:val="0"/>
          <w:numId w:val="11"/>
        </w:numPr>
        <w:spacing w:after="240" w:line="216" w:lineRule="auto"/>
        <w:ind w:left="1843" w:hanging="1559"/>
      </w:pPr>
      <w:r w:rsidRPr="002F47F6">
        <w:t xml:space="preserve">Keep watching briefs on developments with grid-scale managed charging and V2G technologies, with the possibility to upgrade this status should developments in these sectors </w:t>
      </w:r>
      <w:r w:rsidR="00C44763">
        <w:t>reach</w:t>
      </w:r>
      <w:r w:rsidRPr="002F47F6">
        <w:t xml:space="preserve"> the stage where the technologies might be applicable to the PICT environment. </w:t>
      </w:r>
    </w:p>
    <w:p w14:paraId="6A316B19" w14:textId="77777777" w:rsidR="000B075B" w:rsidRDefault="000B075B" w:rsidP="000B075B">
      <w:pPr>
        <w:pStyle w:val="Heading1"/>
        <w:numPr>
          <w:ilvl w:val="0"/>
          <w:numId w:val="0"/>
        </w:numPr>
        <w:ind w:left="432" w:hanging="432"/>
        <w:jc w:val="center"/>
        <w:rPr>
          <w:rFonts w:ascii="Calibri" w:hAnsi="Calibri" w:cs="Calibri"/>
          <w:b/>
          <w:color w:val="1F3864" w:themeColor="accent1" w:themeShade="80"/>
          <w:sz w:val="22"/>
          <w:szCs w:val="22"/>
        </w:rPr>
        <w:sectPr w:rsidR="000B075B" w:rsidSect="00F60B9E">
          <w:footerReference w:type="default" r:id="rId26"/>
          <w:pgSz w:w="11906" w:h="16838"/>
          <w:pgMar w:top="1276" w:right="1440" w:bottom="993" w:left="1440" w:header="709" w:footer="114" w:gutter="0"/>
          <w:cols w:space="708"/>
          <w:docGrid w:linePitch="360"/>
        </w:sectPr>
      </w:pPr>
    </w:p>
    <w:p w14:paraId="07A717F8" w14:textId="3B55FD17" w:rsidR="000B075B" w:rsidRDefault="000B075B" w:rsidP="000B075B">
      <w:pPr>
        <w:pStyle w:val="Heading1"/>
        <w:numPr>
          <w:ilvl w:val="0"/>
          <w:numId w:val="0"/>
        </w:numPr>
        <w:ind w:left="432" w:hanging="432"/>
        <w:jc w:val="center"/>
        <w:rPr>
          <w:rFonts w:ascii="Calibri" w:hAnsi="Calibri" w:cs="Calibri"/>
          <w:b/>
          <w:color w:val="1F3864" w:themeColor="accent1" w:themeShade="80"/>
          <w:sz w:val="22"/>
          <w:szCs w:val="22"/>
        </w:rPr>
      </w:pPr>
      <w:r w:rsidRPr="0008385C">
        <w:rPr>
          <w:rFonts w:ascii="Calibri" w:hAnsi="Calibri" w:cs="Calibri"/>
          <w:b/>
          <w:color w:val="1F3864" w:themeColor="accent1" w:themeShade="80"/>
          <w:sz w:val="22"/>
          <w:szCs w:val="22"/>
        </w:rPr>
        <w:lastRenderedPageBreak/>
        <w:t>Appendix B</w:t>
      </w:r>
      <w:r>
        <w:rPr>
          <w:rFonts w:ascii="Calibri" w:hAnsi="Calibri" w:cs="Calibri"/>
          <w:b/>
          <w:color w:val="1F3864" w:themeColor="accent1" w:themeShade="80"/>
          <w:sz w:val="22"/>
          <w:szCs w:val="22"/>
        </w:rPr>
        <w:t>: Detailed Results Framework for Proposed Regional EV Program</w:t>
      </w:r>
    </w:p>
    <w:p w14:paraId="2FD0AA34" w14:textId="73276AC4" w:rsidR="002222C0" w:rsidRDefault="00854689">
      <w:pPr>
        <w:jc w:val="left"/>
      </w:pPr>
      <w:r w:rsidRPr="00617539">
        <w:rPr>
          <w:noProof/>
          <w:lang w:val="pt-BR" w:eastAsia="pt-BR"/>
        </w:rPr>
        <w:drawing>
          <wp:anchor distT="0" distB="0" distL="114300" distR="114300" simplePos="0" relativeHeight="251664896" behindDoc="0" locked="0" layoutInCell="1" allowOverlap="1" wp14:anchorId="267D8D00" wp14:editId="4F3D526A">
            <wp:simplePos x="0" y="0"/>
            <wp:positionH relativeFrom="column">
              <wp:posOffset>448231</wp:posOffset>
            </wp:positionH>
            <wp:positionV relativeFrom="paragraph">
              <wp:posOffset>134384</wp:posOffset>
            </wp:positionV>
            <wp:extent cx="8065213" cy="5251975"/>
            <wp:effectExtent l="0" t="0" r="0" b="6350"/>
            <wp:wrapSquare wrapText="bothSides"/>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065213" cy="5251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178C14" w14:textId="03F6882B" w:rsidR="00BB52D3" w:rsidRDefault="00BB52D3" w:rsidP="00FF7D24">
      <w:pPr>
        <w:ind w:hanging="284"/>
        <w:jc w:val="center"/>
      </w:pPr>
    </w:p>
    <w:p w14:paraId="72DF92B5" w14:textId="19D8A87C" w:rsidR="00617539" w:rsidRDefault="00617539" w:rsidP="00FF7D24">
      <w:pPr>
        <w:ind w:hanging="284"/>
        <w:jc w:val="center"/>
      </w:pPr>
      <w:r w:rsidRPr="00617539">
        <w:rPr>
          <w:noProof/>
          <w:lang w:val="pt-BR" w:eastAsia="pt-BR"/>
        </w:rPr>
        <w:lastRenderedPageBreak/>
        <w:drawing>
          <wp:inline distT="0" distB="0" distL="0" distR="0" wp14:anchorId="106999B2" wp14:editId="64BAE0F3">
            <wp:extent cx="9089390" cy="6076377"/>
            <wp:effectExtent l="0" t="0" r="0" b="63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096002" cy="6080797"/>
                    </a:xfrm>
                    <a:prstGeom prst="rect">
                      <a:avLst/>
                    </a:prstGeom>
                    <a:noFill/>
                    <a:ln>
                      <a:noFill/>
                    </a:ln>
                  </pic:spPr>
                </pic:pic>
              </a:graphicData>
            </a:graphic>
          </wp:inline>
        </w:drawing>
      </w:r>
    </w:p>
    <w:p w14:paraId="3365C178" w14:textId="4204A12E" w:rsidR="00AB2A74" w:rsidRDefault="00F935C7" w:rsidP="00FF7D24">
      <w:pPr>
        <w:ind w:hanging="284"/>
        <w:jc w:val="center"/>
      </w:pPr>
      <w:r w:rsidRPr="00F935C7">
        <w:lastRenderedPageBreak/>
        <w:t xml:space="preserve"> </w:t>
      </w:r>
      <w:r w:rsidR="00617539" w:rsidRPr="00617539">
        <w:rPr>
          <w:noProof/>
          <w:lang w:val="pt-BR" w:eastAsia="pt-BR"/>
        </w:rPr>
        <w:drawing>
          <wp:inline distT="0" distB="0" distL="0" distR="0" wp14:anchorId="567A0AEA" wp14:editId="29BD74D6">
            <wp:extent cx="9100510" cy="5426233"/>
            <wp:effectExtent l="0" t="0" r="5715" b="317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122703" cy="5439466"/>
                    </a:xfrm>
                    <a:prstGeom prst="rect">
                      <a:avLst/>
                    </a:prstGeom>
                    <a:noFill/>
                    <a:ln>
                      <a:noFill/>
                    </a:ln>
                  </pic:spPr>
                </pic:pic>
              </a:graphicData>
            </a:graphic>
          </wp:inline>
        </w:drawing>
      </w:r>
      <w:r w:rsidR="00B225B7" w:rsidRPr="00B225B7" w:rsidDel="002222C0">
        <w:t xml:space="preserve"> </w:t>
      </w:r>
      <w:r w:rsidR="00AB2A74">
        <w:br w:type="page"/>
      </w:r>
    </w:p>
    <w:p w14:paraId="65782BB0" w14:textId="58965527" w:rsidR="000B075B" w:rsidRDefault="0008385C" w:rsidP="00CF1287">
      <w:pPr>
        <w:pStyle w:val="Heading1"/>
        <w:numPr>
          <w:ilvl w:val="0"/>
          <w:numId w:val="0"/>
        </w:numPr>
        <w:ind w:left="432" w:hanging="432"/>
        <w:jc w:val="center"/>
        <w:rPr>
          <w:rFonts w:ascii="Calibri" w:hAnsi="Calibri" w:cs="Calibri"/>
          <w:b/>
          <w:color w:val="1F3864" w:themeColor="accent1" w:themeShade="80"/>
          <w:sz w:val="22"/>
          <w:szCs w:val="22"/>
        </w:rPr>
      </w:pPr>
      <w:bookmarkStart w:id="22" w:name="_Toc36839571"/>
      <w:r w:rsidRPr="0008385C">
        <w:rPr>
          <w:rFonts w:ascii="Calibri" w:hAnsi="Calibri" w:cs="Calibri"/>
          <w:b/>
          <w:color w:val="1F3864" w:themeColor="accent1" w:themeShade="80"/>
          <w:sz w:val="22"/>
          <w:szCs w:val="22"/>
        </w:rPr>
        <w:lastRenderedPageBreak/>
        <w:t>Appendix C</w:t>
      </w:r>
      <w:r>
        <w:rPr>
          <w:rFonts w:ascii="Calibri" w:hAnsi="Calibri" w:cs="Calibri"/>
          <w:b/>
          <w:color w:val="1F3864" w:themeColor="accent1" w:themeShade="80"/>
          <w:sz w:val="22"/>
          <w:szCs w:val="22"/>
        </w:rPr>
        <w:t xml:space="preserve">: Mid-Level Detailed Results Framework for Proposed Regional EV </w:t>
      </w:r>
      <w:r w:rsidR="000B075B">
        <w:rPr>
          <w:rFonts w:ascii="Calibri" w:hAnsi="Calibri" w:cs="Calibri"/>
          <w:b/>
          <w:color w:val="1F3864" w:themeColor="accent1" w:themeShade="80"/>
          <w:sz w:val="22"/>
          <w:szCs w:val="22"/>
        </w:rPr>
        <w:t>Program</w:t>
      </w:r>
    </w:p>
    <w:p w14:paraId="01FCC1AC" w14:textId="2989656E" w:rsidR="000B075B" w:rsidRPr="00CF1287" w:rsidRDefault="000B075B" w:rsidP="00CF1287">
      <w:r w:rsidRPr="00617539">
        <w:rPr>
          <w:noProof/>
          <w:lang w:val="pt-BR" w:eastAsia="pt-BR"/>
        </w:rPr>
        <w:drawing>
          <wp:anchor distT="0" distB="0" distL="114300" distR="114300" simplePos="0" relativeHeight="251663872" behindDoc="0" locked="0" layoutInCell="1" allowOverlap="1" wp14:anchorId="2A7B787E" wp14:editId="26881F2F">
            <wp:simplePos x="0" y="0"/>
            <wp:positionH relativeFrom="margin">
              <wp:posOffset>766445</wp:posOffset>
            </wp:positionH>
            <wp:positionV relativeFrom="paragraph">
              <wp:posOffset>216535</wp:posOffset>
            </wp:positionV>
            <wp:extent cx="6748145" cy="5311140"/>
            <wp:effectExtent l="0" t="0" r="0" b="381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48145" cy="5311140"/>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22"/>
    <w:p w14:paraId="76178E95" w14:textId="1A4DA884" w:rsidR="0008385C" w:rsidRPr="00CE601B" w:rsidRDefault="0008385C" w:rsidP="00CE601B">
      <w:pPr>
        <w:pStyle w:val="Heading1"/>
        <w:numPr>
          <w:ilvl w:val="0"/>
          <w:numId w:val="0"/>
        </w:numPr>
        <w:ind w:left="432" w:hanging="432"/>
        <w:jc w:val="center"/>
        <w:rPr>
          <w:rFonts w:ascii="Calibri" w:hAnsi="Calibri" w:cs="Calibri"/>
          <w:b/>
          <w:color w:val="1F3864" w:themeColor="accent1" w:themeShade="80"/>
          <w:sz w:val="22"/>
          <w:szCs w:val="22"/>
        </w:rPr>
      </w:pPr>
    </w:p>
    <w:p w14:paraId="00C5D6A1" w14:textId="4FA289B3" w:rsidR="00BB52D3" w:rsidRDefault="00BB52D3" w:rsidP="00BB52D3">
      <w:pPr>
        <w:jc w:val="center"/>
        <w:rPr>
          <w:rFonts w:ascii="Calibri" w:hAnsi="Calibri" w:cs="Calibri"/>
          <w:b/>
          <w:color w:val="1F3864" w:themeColor="accent1" w:themeShade="80"/>
        </w:rPr>
      </w:pPr>
    </w:p>
    <w:p w14:paraId="40C79E1A" w14:textId="254E9AC4" w:rsidR="00BB52D3" w:rsidRDefault="00BB52D3" w:rsidP="00BB52D3">
      <w:pPr>
        <w:jc w:val="center"/>
        <w:rPr>
          <w:rFonts w:ascii="Calibri" w:hAnsi="Calibri" w:cs="Calibri"/>
          <w:b/>
          <w:color w:val="1F3864" w:themeColor="accent1" w:themeShade="80"/>
        </w:rPr>
      </w:pPr>
    </w:p>
    <w:p w14:paraId="45092D74" w14:textId="4A37C53B" w:rsidR="00BB52D3" w:rsidRDefault="000B075B" w:rsidP="00FF7D24">
      <w:pPr>
        <w:ind w:hanging="426"/>
        <w:jc w:val="center"/>
        <w:rPr>
          <w:rFonts w:ascii="Calibri" w:hAnsi="Calibri" w:cs="Calibri"/>
          <w:b/>
          <w:color w:val="1F3864" w:themeColor="accent1" w:themeShade="80"/>
        </w:rPr>
      </w:pPr>
      <w:r w:rsidRPr="00617539">
        <w:rPr>
          <w:noProof/>
          <w:lang w:val="pt-BR" w:eastAsia="pt-BR"/>
        </w:rPr>
        <w:lastRenderedPageBreak/>
        <w:drawing>
          <wp:inline distT="0" distB="0" distL="0" distR="0" wp14:anchorId="4359CD74" wp14:editId="50335EA0">
            <wp:extent cx="8876872" cy="5323629"/>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902981" cy="5339287"/>
                    </a:xfrm>
                    <a:prstGeom prst="rect">
                      <a:avLst/>
                    </a:prstGeom>
                    <a:noFill/>
                    <a:ln>
                      <a:noFill/>
                    </a:ln>
                  </pic:spPr>
                </pic:pic>
              </a:graphicData>
            </a:graphic>
          </wp:inline>
        </w:drawing>
      </w:r>
    </w:p>
    <w:p w14:paraId="7EB39A7B" w14:textId="30468048" w:rsidR="00BB52D3" w:rsidRPr="0008385C" w:rsidRDefault="00BB52D3" w:rsidP="00CF1287">
      <w:pPr>
        <w:rPr>
          <w:rFonts w:ascii="Calibri" w:hAnsi="Calibri" w:cs="Calibri"/>
          <w:b/>
          <w:color w:val="1F3864" w:themeColor="accent1" w:themeShade="80"/>
        </w:rPr>
      </w:pPr>
    </w:p>
    <w:sectPr w:rsidR="00BB52D3" w:rsidRPr="0008385C" w:rsidSect="00CF1287">
      <w:pgSz w:w="16838" w:h="11906" w:orient="landscape"/>
      <w:pgMar w:top="1440" w:right="1276" w:bottom="1440" w:left="993" w:header="709" w:footer="1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AD2D8D" w14:textId="77777777" w:rsidR="00A83E54" w:rsidRDefault="00A83E54" w:rsidP="005965C8">
      <w:pPr>
        <w:spacing w:after="0" w:line="240" w:lineRule="auto"/>
      </w:pPr>
      <w:r>
        <w:separator/>
      </w:r>
    </w:p>
  </w:endnote>
  <w:endnote w:type="continuationSeparator" w:id="0">
    <w:p w14:paraId="27BBCAF3" w14:textId="77777777" w:rsidR="00A83E54" w:rsidRDefault="00A83E54" w:rsidP="005965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0" w:usb2="00000012"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247A91" w14:textId="104AC66A" w:rsidR="002E44DD" w:rsidRDefault="002E44DD" w:rsidP="00F67140">
    <w:pPr>
      <w:pStyle w:val="Footer"/>
      <w:jc w:val="center"/>
    </w:pPr>
    <w:r>
      <w:rPr>
        <w:rFonts w:cs="Arial"/>
        <w:sz w:val="16"/>
        <w:szCs w:val="16"/>
        <w:lang w:val="pt-BR"/>
      </w:rPr>
      <w:fldChar w:fldCharType="begin"/>
    </w:r>
    <w:r>
      <w:rPr>
        <w:rFonts w:cs="Arial"/>
        <w:sz w:val="16"/>
        <w:szCs w:val="16"/>
        <w:lang w:val="pt-BR"/>
      </w:rPr>
      <w:instrText xml:space="preserve"> PAGE </w:instrText>
    </w:r>
    <w:r>
      <w:rPr>
        <w:rFonts w:cs="Arial"/>
        <w:sz w:val="16"/>
        <w:szCs w:val="16"/>
        <w:lang w:val="pt-BR"/>
      </w:rPr>
      <w:fldChar w:fldCharType="separate"/>
    </w:r>
    <w:r>
      <w:rPr>
        <w:rFonts w:cs="Arial"/>
        <w:noProof/>
        <w:sz w:val="16"/>
        <w:szCs w:val="16"/>
        <w:lang w:val="pt-BR"/>
      </w:rPr>
      <w:t>21</w:t>
    </w:r>
    <w:r>
      <w:rPr>
        <w:rFonts w:cs="Arial"/>
        <w:sz w:val="16"/>
        <w:szCs w:val="16"/>
        <w:lang w:val="pt-BR"/>
      </w:rPr>
      <w:fldChar w:fldCharType="end"/>
    </w:r>
    <w:r>
      <w:rPr>
        <w:rFonts w:cs="Arial"/>
        <w:sz w:val="16"/>
        <w:szCs w:val="16"/>
        <w:lang w:val="pt-BR"/>
      </w:rPr>
      <w:t>/</w:t>
    </w:r>
    <w:r>
      <w:rPr>
        <w:rFonts w:cs="Arial"/>
        <w:sz w:val="16"/>
        <w:szCs w:val="16"/>
        <w:lang w:val="pt-BR"/>
      </w:rPr>
      <w:fldChar w:fldCharType="begin"/>
    </w:r>
    <w:r>
      <w:rPr>
        <w:rFonts w:cs="Arial"/>
        <w:sz w:val="16"/>
        <w:szCs w:val="16"/>
        <w:lang w:val="pt-BR"/>
      </w:rPr>
      <w:instrText xml:space="preserve"> NUMPAGES  </w:instrText>
    </w:r>
    <w:r>
      <w:rPr>
        <w:rFonts w:cs="Arial"/>
        <w:sz w:val="16"/>
        <w:szCs w:val="16"/>
        <w:lang w:val="pt-BR"/>
      </w:rPr>
      <w:fldChar w:fldCharType="separate"/>
    </w:r>
    <w:r>
      <w:rPr>
        <w:rFonts w:cs="Arial"/>
        <w:noProof/>
        <w:sz w:val="16"/>
        <w:szCs w:val="16"/>
        <w:lang w:val="pt-BR"/>
      </w:rPr>
      <w:t>25</w:t>
    </w:r>
    <w:r>
      <w:rPr>
        <w:rFonts w:cs="Arial"/>
        <w:sz w:val="16"/>
        <w:szCs w:val="16"/>
        <w:lang w:val="pt-BR"/>
      </w:rPr>
      <w:fldChar w:fldCharType="end"/>
    </w:r>
  </w:p>
  <w:p w14:paraId="157F0038" w14:textId="77777777" w:rsidR="002E44DD" w:rsidRDefault="002E44D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B773DD" w14:textId="77777777" w:rsidR="00A83E54" w:rsidRDefault="00A83E54" w:rsidP="005965C8">
      <w:pPr>
        <w:spacing w:after="0" w:line="240" w:lineRule="auto"/>
      </w:pPr>
      <w:r>
        <w:separator/>
      </w:r>
    </w:p>
  </w:footnote>
  <w:footnote w:type="continuationSeparator" w:id="0">
    <w:p w14:paraId="33A447DB" w14:textId="77777777" w:rsidR="00A83E54" w:rsidRDefault="00A83E54" w:rsidP="005965C8">
      <w:pPr>
        <w:spacing w:after="0" w:line="240" w:lineRule="auto"/>
      </w:pPr>
      <w:r>
        <w:continuationSeparator/>
      </w:r>
    </w:p>
  </w:footnote>
  <w:footnote w:id="1">
    <w:p w14:paraId="5A54E48F" w14:textId="77777777" w:rsidR="002E44DD" w:rsidRPr="00696353" w:rsidRDefault="002E44DD" w:rsidP="00B4787C">
      <w:pPr>
        <w:pStyle w:val="FootnoteText"/>
        <w:rPr>
          <w:sz w:val="18"/>
          <w:szCs w:val="18"/>
          <w:lang w:val="en-GB"/>
        </w:rPr>
      </w:pPr>
      <w:r w:rsidRPr="00696353">
        <w:rPr>
          <w:rStyle w:val="FootnoteReference"/>
          <w:sz w:val="18"/>
          <w:szCs w:val="18"/>
        </w:rPr>
        <w:footnoteRef/>
      </w:r>
      <w:r w:rsidRPr="00696353">
        <w:rPr>
          <w:sz w:val="18"/>
          <w:szCs w:val="18"/>
        </w:rPr>
        <w:t xml:space="preserve"> </w:t>
      </w:r>
      <w:r w:rsidRPr="00696353">
        <w:rPr>
          <w:sz w:val="18"/>
          <w:szCs w:val="18"/>
          <w:lang w:val="en-GB"/>
        </w:rPr>
        <w:t>www.pcreee.org</w:t>
      </w:r>
    </w:p>
  </w:footnote>
  <w:footnote w:id="2">
    <w:p w14:paraId="780408BA" w14:textId="77777777" w:rsidR="002E44DD" w:rsidRPr="00194394" w:rsidRDefault="002E44DD" w:rsidP="009B39BD">
      <w:pPr>
        <w:pStyle w:val="Default"/>
        <w:rPr>
          <w:sz w:val="18"/>
          <w:szCs w:val="18"/>
        </w:rPr>
      </w:pPr>
      <w:r w:rsidRPr="00194394">
        <w:rPr>
          <w:rStyle w:val="FootnoteReference"/>
          <w:sz w:val="18"/>
          <w:szCs w:val="18"/>
        </w:rPr>
        <w:footnoteRef/>
      </w:r>
      <w:r w:rsidRPr="00EF3205">
        <w:t xml:space="preserve"> </w:t>
      </w:r>
      <w:r w:rsidRPr="00194394">
        <w:rPr>
          <w:sz w:val="18"/>
          <w:szCs w:val="18"/>
        </w:rPr>
        <w:t xml:space="preserve">Specifically, the Energy Ministers: </w:t>
      </w:r>
    </w:p>
    <w:p w14:paraId="4DCFD2DD" w14:textId="77777777" w:rsidR="002E44DD" w:rsidRPr="00194394" w:rsidRDefault="002E44DD" w:rsidP="009B39BD">
      <w:pPr>
        <w:pStyle w:val="Default"/>
        <w:numPr>
          <w:ilvl w:val="0"/>
          <w:numId w:val="16"/>
        </w:numPr>
        <w:jc w:val="both"/>
        <w:rPr>
          <w:sz w:val="18"/>
          <w:szCs w:val="18"/>
        </w:rPr>
      </w:pPr>
      <w:r w:rsidRPr="00194394">
        <w:rPr>
          <w:sz w:val="18"/>
          <w:szCs w:val="18"/>
        </w:rPr>
        <w:t xml:space="preserve">Requested SPC/PCREEE, UNIDO and SIDS DOCK to develop a regional policy document outlining the short-term and long-term vision of PICTs with regard to integrated e-mobility and renewable energy power markets. It will </w:t>
      </w:r>
      <w:bookmarkStart w:id="2" w:name="_Hlk37969762"/>
      <w:r w:rsidRPr="00194394">
        <w:rPr>
          <w:sz w:val="18"/>
          <w:szCs w:val="18"/>
        </w:rPr>
        <w:t xml:space="preserve">propose regional </w:t>
      </w:r>
      <w:bookmarkStart w:id="3" w:name="_Hlk38005807"/>
      <w:r w:rsidRPr="00194394">
        <w:rPr>
          <w:sz w:val="18"/>
          <w:szCs w:val="18"/>
        </w:rPr>
        <w:t>e-mobility targets for the PICTs region by 2030 and 2050</w:t>
      </w:r>
      <w:bookmarkEnd w:id="2"/>
      <w:r w:rsidRPr="00194394">
        <w:rPr>
          <w:sz w:val="18"/>
          <w:szCs w:val="18"/>
        </w:rPr>
        <w:t xml:space="preserve"> </w:t>
      </w:r>
      <w:bookmarkEnd w:id="3"/>
      <w:r w:rsidRPr="00194394">
        <w:rPr>
          <w:sz w:val="18"/>
          <w:szCs w:val="18"/>
        </w:rPr>
        <w:t>and include a regional implementation framework with concrete priority actions. (E11 (iv) of the Resolution of Ministers, Apia, Samoa, 19 September 2019);</w:t>
      </w:r>
    </w:p>
    <w:p w14:paraId="38D93589" w14:textId="77777777" w:rsidR="002E44DD" w:rsidRPr="00194394" w:rsidRDefault="002E44DD" w:rsidP="009B39BD">
      <w:pPr>
        <w:pStyle w:val="Default"/>
        <w:numPr>
          <w:ilvl w:val="0"/>
          <w:numId w:val="16"/>
        </w:numPr>
        <w:jc w:val="both"/>
        <w:rPr>
          <w:sz w:val="18"/>
          <w:szCs w:val="18"/>
        </w:rPr>
      </w:pPr>
      <w:r w:rsidRPr="00194394">
        <w:rPr>
          <w:sz w:val="18"/>
          <w:szCs w:val="18"/>
        </w:rPr>
        <w:t xml:space="preserve">Requested SPC/PCREEE, UNIDO and SIDS DOCK to develop a regional e-mobility program. The program will address existing barriers by promoting regional interventions in the areas of policy and regulation, knowledge management, qualification/certification, as well as the promotion of investment, entrepreneurship and innovation, and to promote SIDS-SIDS cooperation and exchange on integrated e-mobility and renewable energy power systems under the umbrella of the Global Network of Regional Sustainable Energy Centres (GN-SEC). (E11 (iv) of the Resolution of Ministers, Apia, Samoa, 19 September 2019). </w:t>
      </w:r>
    </w:p>
  </w:footnote>
  <w:footnote w:id="3">
    <w:p w14:paraId="455A0111" w14:textId="7609E0D1" w:rsidR="002E44DD" w:rsidRPr="00FF7D24" w:rsidRDefault="002E44DD">
      <w:pPr>
        <w:pStyle w:val="FootnoteText"/>
        <w:rPr>
          <w:sz w:val="18"/>
          <w:szCs w:val="18"/>
          <w:lang w:val="en-GB"/>
        </w:rPr>
      </w:pPr>
      <w:r w:rsidRPr="00FF7D24">
        <w:rPr>
          <w:rStyle w:val="FootnoteReference"/>
          <w:sz w:val="18"/>
          <w:szCs w:val="18"/>
        </w:rPr>
        <w:footnoteRef/>
      </w:r>
      <w:r w:rsidRPr="00FF7D24">
        <w:rPr>
          <w:sz w:val="18"/>
          <w:szCs w:val="18"/>
        </w:rPr>
        <w:t xml:space="preserve"> </w:t>
      </w:r>
      <w:r w:rsidRPr="00FF7D24">
        <w:rPr>
          <w:sz w:val="18"/>
          <w:szCs w:val="18"/>
          <w:lang w:val="en-GB"/>
        </w:rPr>
        <w:t>See also</w:t>
      </w:r>
      <w:r>
        <w:rPr>
          <w:sz w:val="18"/>
          <w:szCs w:val="18"/>
          <w:lang w:val="en-GB"/>
        </w:rPr>
        <w:t xml:space="preserve"> </w:t>
      </w:r>
      <w:r w:rsidRPr="00FF7D24">
        <w:rPr>
          <w:sz w:val="18"/>
          <w:szCs w:val="18"/>
          <w:lang w:val="en-GB"/>
        </w:rPr>
        <w:t xml:space="preserve"> GN-SEC theory of change for regional sustainable energy acceleration at: </w:t>
      </w:r>
      <w:hyperlink r:id="rId1" w:history="1">
        <w:r w:rsidRPr="00FF7D24">
          <w:rPr>
            <w:rStyle w:val="Hyperlink"/>
            <w:sz w:val="18"/>
            <w:szCs w:val="18"/>
            <w:lang w:val="en-GB"/>
          </w:rPr>
          <w:t>www.gn-sec.net</w:t>
        </w:r>
      </w:hyperlink>
      <w:r w:rsidRPr="00FF7D24">
        <w:rPr>
          <w:sz w:val="18"/>
          <w:szCs w:val="18"/>
          <w:lang w:val="en-GB"/>
        </w:rPr>
        <w:t xml:space="preserve"> </w:t>
      </w:r>
    </w:p>
  </w:footnote>
  <w:footnote w:id="4">
    <w:p w14:paraId="233CB7EB" w14:textId="66AC2913" w:rsidR="002E44DD" w:rsidRPr="00052BBB" w:rsidRDefault="002E44DD">
      <w:pPr>
        <w:pStyle w:val="FootnoteText"/>
      </w:pPr>
      <w:r>
        <w:rPr>
          <w:rStyle w:val="FootnoteReference"/>
        </w:rPr>
        <w:footnoteRef/>
      </w:r>
      <w:r>
        <w:t xml:space="preserve"> See GN-SEC approach at </w:t>
      </w:r>
      <w:hyperlink r:id="rId2" w:history="1">
        <w:r w:rsidRPr="00DA1D1F">
          <w:rPr>
            <w:rStyle w:val="Hyperlink"/>
          </w:rPr>
          <w:t>www.gn-sec.net</w:t>
        </w:r>
      </w:hyperlink>
      <w:r>
        <w:t xml:space="preserve"> </w:t>
      </w:r>
    </w:p>
  </w:footnote>
  <w:footnote w:id="5">
    <w:p w14:paraId="28E7CD35" w14:textId="77777777" w:rsidR="002E44DD" w:rsidRPr="00C5281E" w:rsidRDefault="002E44DD" w:rsidP="00FF7D24">
      <w:pPr>
        <w:pStyle w:val="FootnoteText"/>
        <w:jc w:val="left"/>
        <w:rPr>
          <w:sz w:val="18"/>
          <w:szCs w:val="18"/>
          <w:lang w:val="en-GB"/>
        </w:rPr>
      </w:pPr>
      <w:r w:rsidRPr="00FF7D24">
        <w:rPr>
          <w:rStyle w:val="FootnoteReference"/>
          <w:sz w:val="18"/>
          <w:szCs w:val="18"/>
        </w:rPr>
        <w:footnoteRef/>
      </w:r>
      <w:r w:rsidRPr="00C5281E">
        <w:rPr>
          <w:sz w:val="18"/>
          <w:szCs w:val="18"/>
          <w:lang w:val="en-GB"/>
        </w:rPr>
        <w:t xml:space="preserve"> </w:t>
      </w:r>
      <w:hyperlink r:id="rId3" w:history="1">
        <w:r w:rsidRPr="00C5281E">
          <w:rPr>
            <w:rStyle w:val="Hyperlink"/>
            <w:sz w:val="18"/>
            <w:szCs w:val="18"/>
            <w:lang w:val="en-GB"/>
          </w:rPr>
          <w:t>https://www.eeca.govt.nz/news-and-events/media-releases/booklet-answers-common-electric-vehicle-questions/</w:t>
        </w:r>
      </w:hyperlink>
    </w:p>
  </w:footnote>
  <w:footnote w:id="6">
    <w:p w14:paraId="5FB83089" w14:textId="77777777" w:rsidR="002E44DD" w:rsidRPr="00FF7D24" w:rsidRDefault="002E44DD" w:rsidP="00FF7D24">
      <w:pPr>
        <w:pStyle w:val="FootnoteText"/>
        <w:jc w:val="left"/>
        <w:rPr>
          <w:sz w:val="18"/>
          <w:szCs w:val="18"/>
        </w:rPr>
      </w:pPr>
      <w:r w:rsidRPr="00FF7D24">
        <w:rPr>
          <w:rStyle w:val="FootnoteReference"/>
          <w:sz w:val="18"/>
          <w:szCs w:val="18"/>
        </w:rPr>
        <w:footnoteRef/>
      </w:r>
      <w:r w:rsidRPr="00FF7D24">
        <w:rPr>
          <w:sz w:val="18"/>
          <w:szCs w:val="18"/>
        </w:rPr>
        <w:t xml:space="preserve"> </w:t>
      </w:r>
      <w:hyperlink r:id="rId4" w:history="1">
        <w:r w:rsidRPr="00FF7D24">
          <w:rPr>
            <w:rStyle w:val="Hyperlink"/>
            <w:sz w:val="18"/>
            <w:szCs w:val="18"/>
          </w:rPr>
          <w:t>https://www.energywise.govt.nz/on-the-road/electric-vehicles/ev-charging/</w:t>
        </w:r>
      </w:hyperlink>
    </w:p>
  </w:footnote>
  <w:footnote w:id="7">
    <w:p w14:paraId="382AE025" w14:textId="77777777" w:rsidR="002E44DD" w:rsidRDefault="002E44DD" w:rsidP="00FF7D24">
      <w:pPr>
        <w:pStyle w:val="FootnoteText"/>
        <w:jc w:val="left"/>
      </w:pPr>
      <w:r w:rsidRPr="00FF7D24">
        <w:rPr>
          <w:rStyle w:val="FootnoteReference"/>
          <w:sz w:val="18"/>
          <w:szCs w:val="18"/>
        </w:rPr>
        <w:footnoteRef/>
      </w:r>
      <w:r w:rsidRPr="00FF7D24">
        <w:rPr>
          <w:sz w:val="18"/>
          <w:szCs w:val="18"/>
        </w:rPr>
        <w:t xml:space="preserve"> </w:t>
      </w:r>
      <w:hyperlink r:id="rId5" w:history="1">
        <w:r w:rsidRPr="00FF7D24">
          <w:rPr>
            <w:rStyle w:val="Hyperlink"/>
            <w:sz w:val="18"/>
            <w:szCs w:val="18"/>
          </w:rPr>
          <w:t>https://theicct.org/sites/default/files/publications/India_EV_State_Guidebook_20191007.pdf</w:t>
        </w:r>
      </w:hyperlink>
    </w:p>
  </w:footnote>
  <w:footnote w:id="8">
    <w:p w14:paraId="5FE5C641" w14:textId="77777777" w:rsidR="002E44DD" w:rsidRPr="00FF7D24" w:rsidRDefault="002E44DD" w:rsidP="0018174D">
      <w:pPr>
        <w:pStyle w:val="FootnoteText"/>
        <w:rPr>
          <w:sz w:val="18"/>
          <w:szCs w:val="18"/>
        </w:rPr>
      </w:pPr>
      <w:r w:rsidRPr="00FF7D24">
        <w:rPr>
          <w:rStyle w:val="FootnoteReference"/>
          <w:sz w:val="18"/>
          <w:szCs w:val="18"/>
        </w:rPr>
        <w:footnoteRef/>
      </w:r>
      <w:r w:rsidRPr="00FF7D24">
        <w:rPr>
          <w:sz w:val="18"/>
          <w:szCs w:val="18"/>
        </w:rPr>
        <w:t xml:space="preserve"> For example, as described in the findings of the report “In Review of the Framework for Action on Energy Security in the Pacific (FAESP): 2010 – 2020 PHASE 1: FINAL REPORT” Peter Johnston, October 2019</w:t>
      </w:r>
    </w:p>
  </w:footnote>
  <w:footnote w:id="9">
    <w:p w14:paraId="0CF38B26" w14:textId="77777777" w:rsidR="002E44DD" w:rsidRPr="00FF7D24" w:rsidRDefault="002E44DD" w:rsidP="00785C62">
      <w:pPr>
        <w:pStyle w:val="FootnoteText"/>
        <w:rPr>
          <w:sz w:val="18"/>
          <w:szCs w:val="18"/>
        </w:rPr>
      </w:pPr>
      <w:r w:rsidRPr="00FF7D24">
        <w:rPr>
          <w:rStyle w:val="FootnoteReference"/>
          <w:sz w:val="18"/>
          <w:szCs w:val="18"/>
        </w:rPr>
        <w:footnoteRef/>
      </w:r>
      <w:r w:rsidRPr="00FF7D24">
        <w:rPr>
          <w:sz w:val="18"/>
          <w:szCs w:val="18"/>
        </w:rPr>
        <w:t xml:space="preserve"> E.g., Cooperation across Small Island Developing States (SIDS), understanding that many of them face similar barriers and are at similar or other early stages of EV deployment.</w:t>
      </w:r>
    </w:p>
  </w:footnote>
  <w:footnote w:id="10">
    <w:p w14:paraId="5D0268A4" w14:textId="77777777" w:rsidR="002E44DD" w:rsidRPr="00FF7D24" w:rsidRDefault="002E44DD" w:rsidP="00FF7D24">
      <w:pPr>
        <w:pStyle w:val="FootnoteText"/>
        <w:jc w:val="left"/>
        <w:rPr>
          <w:sz w:val="18"/>
          <w:szCs w:val="18"/>
        </w:rPr>
      </w:pPr>
      <w:r w:rsidRPr="00FF7D24">
        <w:rPr>
          <w:rStyle w:val="FootnoteReference"/>
          <w:sz w:val="18"/>
          <w:szCs w:val="18"/>
        </w:rPr>
        <w:footnoteRef/>
      </w:r>
      <w:r w:rsidRPr="00FF7D24">
        <w:rPr>
          <w:sz w:val="18"/>
          <w:szCs w:val="18"/>
        </w:rPr>
        <w:t xml:space="preserve"> Sustainable Energy Industry Association of the Pacific Islands (SEIAPI) guidelines: </w:t>
      </w:r>
      <w:hyperlink r:id="rId6" w:history="1">
        <w:r w:rsidRPr="00FF7D24">
          <w:rPr>
            <w:rStyle w:val="Hyperlink"/>
            <w:sz w:val="18"/>
            <w:szCs w:val="18"/>
          </w:rPr>
          <w:t>http://www.seiapi.com/guidelines/</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45161"/>
    <w:multiLevelType w:val="multilevel"/>
    <w:tmpl w:val="FA1CCF30"/>
    <w:lvl w:ilvl="0">
      <w:start w:val="1"/>
      <w:numFmt w:val="decimal"/>
      <w:lvlText w:val="%1."/>
      <w:lvlJc w:val="left"/>
      <w:pPr>
        <w:ind w:left="360" w:hanging="360"/>
      </w:pPr>
      <w:rPr>
        <w:rFonts w:hint="default"/>
      </w:rPr>
    </w:lvl>
    <w:lvl w:ilvl="1">
      <w:start w:val="1"/>
      <w:numFmt w:val="decimal"/>
      <w:pStyle w:val="appendix2numbered"/>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D1D3CA3"/>
    <w:multiLevelType w:val="multilevel"/>
    <w:tmpl w:val="3FEE20A2"/>
    <w:lvl w:ilvl="0">
      <w:start w:val="1"/>
      <w:numFmt w:val="decimal"/>
      <w:lvlText w:val="Policy Action %1."/>
      <w:lvlJc w:val="left"/>
      <w:pPr>
        <w:ind w:left="2629" w:hanging="360"/>
      </w:pPr>
      <w:rPr>
        <w:rFonts w:hint="default"/>
        <w:sz w:val="20"/>
      </w:rPr>
    </w:lvl>
    <w:lvl w:ilvl="1">
      <w:start w:val="1"/>
      <w:numFmt w:val="lowerLetter"/>
      <w:lvlText w:val="%2."/>
      <w:lvlJc w:val="left"/>
      <w:pPr>
        <w:ind w:left="3349" w:hanging="360"/>
      </w:pPr>
      <w:rPr>
        <w:rFonts w:hint="default"/>
      </w:rPr>
    </w:lvl>
    <w:lvl w:ilvl="2">
      <w:start w:val="1"/>
      <w:numFmt w:val="lowerRoman"/>
      <w:lvlText w:val="%3."/>
      <w:lvlJc w:val="right"/>
      <w:pPr>
        <w:ind w:left="4069" w:hanging="180"/>
      </w:pPr>
      <w:rPr>
        <w:rFonts w:hint="default"/>
      </w:rPr>
    </w:lvl>
    <w:lvl w:ilvl="3">
      <w:start w:val="1"/>
      <w:numFmt w:val="decimal"/>
      <w:lvlText w:val="%4."/>
      <w:lvlJc w:val="left"/>
      <w:pPr>
        <w:ind w:left="4789" w:hanging="360"/>
      </w:pPr>
      <w:rPr>
        <w:rFonts w:hint="default"/>
      </w:rPr>
    </w:lvl>
    <w:lvl w:ilvl="4">
      <w:start w:val="1"/>
      <w:numFmt w:val="lowerLetter"/>
      <w:lvlText w:val="%5."/>
      <w:lvlJc w:val="left"/>
      <w:pPr>
        <w:ind w:left="5509" w:hanging="360"/>
      </w:pPr>
      <w:rPr>
        <w:rFonts w:hint="default"/>
      </w:rPr>
    </w:lvl>
    <w:lvl w:ilvl="5">
      <w:start w:val="1"/>
      <w:numFmt w:val="lowerRoman"/>
      <w:lvlText w:val="%6."/>
      <w:lvlJc w:val="right"/>
      <w:pPr>
        <w:ind w:left="6229" w:hanging="180"/>
      </w:pPr>
      <w:rPr>
        <w:rFonts w:hint="default"/>
      </w:rPr>
    </w:lvl>
    <w:lvl w:ilvl="6">
      <w:start w:val="1"/>
      <w:numFmt w:val="decimal"/>
      <w:lvlText w:val="%7."/>
      <w:lvlJc w:val="left"/>
      <w:pPr>
        <w:ind w:left="6949" w:hanging="360"/>
      </w:pPr>
      <w:rPr>
        <w:rFonts w:hint="default"/>
      </w:rPr>
    </w:lvl>
    <w:lvl w:ilvl="7">
      <w:start w:val="1"/>
      <w:numFmt w:val="lowerLetter"/>
      <w:lvlText w:val="%8."/>
      <w:lvlJc w:val="left"/>
      <w:pPr>
        <w:ind w:left="7669" w:hanging="360"/>
      </w:pPr>
      <w:rPr>
        <w:rFonts w:hint="default"/>
      </w:rPr>
    </w:lvl>
    <w:lvl w:ilvl="8">
      <w:start w:val="1"/>
      <w:numFmt w:val="lowerRoman"/>
      <w:lvlText w:val="%9."/>
      <w:lvlJc w:val="right"/>
      <w:pPr>
        <w:ind w:left="8389" w:hanging="180"/>
      </w:pPr>
      <w:rPr>
        <w:rFonts w:hint="default"/>
      </w:rPr>
    </w:lvl>
  </w:abstractNum>
  <w:abstractNum w:abstractNumId="2" w15:restartNumberingAfterBreak="0">
    <w:nsid w:val="135012BD"/>
    <w:multiLevelType w:val="hybridMultilevel"/>
    <w:tmpl w:val="2A5A4C00"/>
    <w:lvl w:ilvl="0" w:tplc="14090001">
      <w:start w:val="1"/>
      <w:numFmt w:val="bullet"/>
      <w:lvlText w:val=""/>
      <w:lvlJc w:val="left"/>
      <w:pPr>
        <w:ind w:left="770" w:hanging="360"/>
      </w:pPr>
      <w:rPr>
        <w:rFonts w:ascii="Symbol" w:hAnsi="Symbol" w:hint="default"/>
      </w:rPr>
    </w:lvl>
    <w:lvl w:ilvl="1" w:tplc="14090003" w:tentative="1">
      <w:start w:val="1"/>
      <w:numFmt w:val="bullet"/>
      <w:lvlText w:val="o"/>
      <w:lvlJc w:val="left"/>
      <w:pPr>
        <w:ind w:left="1490" w:hanging="360"/>
      </w:pPr>
      <w:rPr>
        <w:rFonts w:ascii="Courier New" w:hAnsi="Courier New" w:cs="Courier New" w:hint="default"/>
      </w:rPr>
    </w:lvl>
    <w:lvl w:ilvl="2" w:tplc="14090005" w:tentative="1">
      <w:start w:val="1"/>
      <w:numFmt w:val="bullet"/>
      <w:lvlText w:val=""/>
      <w:lvlJc w:val="left"/>
      <w:pPr>
        <w:ind w:left="2210" w:hanging="360"/>
      </w:pPr>
      <w:rPr>
        <w:rFonts w:ascii="Wingdings" w:hAnsi="Wingdings" w:hint="default"/>
      </w:rPr>
    </w:lvl>
    <w:lvl w:ilvl="3" w:tplc="14090001" w:tentative="1">
      <w:start w:val="1"/>
      <w:numFmt w:val="bullet"/>
      <w:lvlText w:val=""/>
      <w:lvlJc w:val="left"/>
      <w:pPr>
        <w:ind w:left="2930" w:hanging="360"/>
      </w:pPr>
      <w:rPr>
        <w:rFonts w:ascii="Symbol" w:hAnsi="Symbol" w:hint="default"/>
      </w:rPr>
    </w:lvl>
    <w:lvl w:ilvl="4" w:tplc="14090003" w:tentative="1">
      <w:start w:val="1"/>
      <w:numFmt w:val="bullet"/>
      <w:lvlText w:val="o"/>
      <w:lvlJc w:val="left"/>
      <w:pPr>
        <w:ind w:left="3650" w:hanging="360"/>
      </w:pPr>
      <w:rPr>
        <w:rFonts w:ascii="Courier New" w:hAnsi="Courier New" w:cs="Courier New" w:hint="default"/>
      </w:rPr>
    </w:lvl>
    <w:lvl w:ilvl="5" w:tplc="14090005" w:tentative="1">
      <w:start w:val="1"/>
      <w:numFmt w:val="bullet"/>
      <w:lvlText w:val=""/>
      <w:lvlJc w:val="left"/>
      <w:pPr>
        <w:ind w:left="4370" w:hanging="360"/>
      </w:pPr>
      <w:rPr>
        <w:rFonts w:ascii="Wingdings" w:hAnsi="Wingdings" w:hint="default"/>
      </w:rPr>
    </w:lvl>
    <w:lvl w:ilvl="6" w:tplc="14090001" w:tentative="1">
      <w:start w:val="1"/>
      <w:numFmt w:val="bullet"/>
      <w:lvlText w:val=""/>
      <w:lvlJc w:val="left"/>
      <w:pPr>
        <w:ind w:left="5090" w:hanging="360"/>
      </w:pPr>
      <w:rPr>
        <w:rFonts w:ascii="Symbol" w:hAnsi="Symbol" w:hint="default"/>
      </w:rPr>
    </w:lvl>
    <w:lvl w:ilvl="7" w:tplc="14090003" w:tentative="1">
      <w:start w:val="1"/>
      <w:numFmt w:val="bullet"/>
      <w:lvlText w:val="o"/>
      <w:lvlJc w:val="left"/>
      <w:pPr>
        <w:ind w:left="5810" w:hanging="360"/>
      </w:pPr>
      <w:rPr>
        <w:rFonts w:ascii="Courier New" w:hAnsi="Courier New" w:cs="Courier New" w:hint="default"/>
      </w:rPr>
    </w:lvl>
    <w:lvl w:ilvl="8" w:tplc="14090005" w:tentative="1">
      <w:start w:val="1"/>
      <w:numFmt w:val="bullet"/>
      <w:lvlText w:val=""/>
      <w:lvlJc w:val="left"/>
      <w:pPr>
        <w:ind w:left="6530" w:hanging="360"/>
      </w:pPr>
      <w:rPr>
        <w:rFonts w:ascii="Wingdings" w:hAnsi="Wingdings" w:hint="default"/>
      </w:rPr>
    </w:lvl>
  </w:abstractNum>
  <w:abstractNum w:abstractNumId="3" w15:restartNumberingAfterBreak="0">
    <w:nsid w:val="156E4591"/>
    <w:multiLevelType w:val="hybridMultilevel"/>
    <w:tmpl w:val="39F855DC"/>
    <w:lvl w:ilvl="0" w:tplc="14090001">
      <w:start w:val="1"/>
      <w:numFmt w:val="bullet"/>
      <w:lvlText w:val=""/>
      <w:lvlJc w:val="left"/>
      <w:pPr>
        <w:ind w:left="1077" w:hanging="360"/>
      </w:pPr>
      <w:rPr>
        <w:rFonts w:ascii="Symbol" w:hAnsi="Symbol" w:hint="default"/>
      </w:rPr>
    </w:lvl>
    <w:lvl w:ilvl="1" w:tplc="14090003" w:tentative="1">
      <w:start w:val="1"/>
      <w:numFmt w:val="bullet"/>
      <w:lvlText w:val="o"/>
      <w:lvlJc w:val="left"/>
      <w:pPr>
        <w:ind w:left="1797" w:hanging="360"/>
      </w:pPr>
      <w:rPr>
        <w:rFonts w:ascii="Courier New" w:hAnsi="Courier New" w:cs="Courier New" w:hint="default"/>
      </w:rPr>
    </w:lvl>
    <w:lvl w:ilvl="2" w:tplc="14090005" w:tentative="1">
      <w:start w:val="1"/>
      <w:numFmt w:val="bullet"/>
      <w:lvlText w:val=""/>
      <w:lvlJc w:val="left"/>
      <w:pPr>
        <w:ind w:left="2517" w:hanging="360"/>
      </w:pPr>
      <w:rPr>
        <w:rFonts w:ascii="Wingdings" w:hAnsi="Wingdings" w:hint="default"/>
      </w:rPr>
    </w:lvl>
    <w:lvl w:ilvl="3" w:tplc="14090001" w:tentative="1">
      <w:start w:val="1"/>
      <w:numFmt w:val="bullet"/>
      <w:lvlText w:val=""/>
      <w:lvlJc w:val="left"/>
      <w:pPr>
        <w:ind w:left="3237" w:hanging="360"/>
      </w:pPr>
      <w:rPr>
        <w:rFonts w:ascii="Symbol" w:hAnsi="Symbol" w:hint="default"/>
      </w:rPr>
    </w:lvl>
    <w:lvl w:ilvl="4" w:tplc="14090003" w:tentative="1">
      <w:start w:val="1"/>
      <w:numFmt w:val="bullet"/>
      <w:lvlText w:val="o"/>
      <w:lvlJc w:val="left"/>
      <w:pPr>
        <w:ind w:left="3957" w:hanging="360"/>
      </w:pPr>
      <w:rPr>
        <w:rFonts w:ascii="Courier New" w:hAnsi="Courier New" w:cs="Courier New" w:hint="default"/>
      </w:rPr>
    </w:lvl>
    <w:lvl w:ilvl="5" w:tplc="14090005" w:tentative="1">
      <w:start w:val="1"/>
      <w:numFmt w:val="bullet"/>
      <w:lvlText w:val=""/>
      <w:lvlJc w:val="left"/>
      <w:pPr>
        <w:ind w:left="4677" w:hanging="360"/>
      </w:pPr>
      <w:rPr>
        <w:rFonts w:ascii="Wingdings" w:hAnsi="Wingdings" w:hint="default"/>
      </w:rPr>
    </w:lvl>
    <w:lvl w:ilvl="6" w:tplc="14090001" w:tentative="1">
      <w:start w:val="1"/>
      <w:numFmt w:val="bullet"/>
      <w:lvlText w:val=""/>
      <w:lvlJc w:val="left"/>
      <w:pPr>
        <w:ind w:left="5397" w:hanging="360"/>
      </w:pPr>
      <w:rPr>
        <w:rFonts w:ascii="Symbol" w:hAnsi="Symbol" w:hint="default"/>
      </w:rPr>
    </w:lvl>
    <w:lvl w:ilvl="7" w:tplc="14090003" w:tentative="1">
      <w:start w:val="1"/>
      <w:numFmt w:val="bullet"/>
      <w:lvlText w:val="o"/>
      <w:lvlJc w:val="left"/>
      <w:pPr>
        <w:ind w:left="6117" w:hanging="360"/>
      </w:pPr>
      <w:rPr>
        <w:rFonts w:ascii="Courier New" w:hAnsi="Courier New" w:cs="Courier New" w:hint="default"/>
      </w:rPr>
    </w:lvl>
    <w:lvl w:ilvl="8" w:tplc="14090005" w:tentative="1">
      <w:start w:val="1"/>
      <w:numFmt w:val="bullet"/>
      <w:lvlText w:val=""/>
      <w:lvlJc w:val="left"/>
      <w:pPr>
        <w:ind w:left="6837" w:hanging="360"/>
      </w:pPr>
      <w:rPr>
        <w:rFonts w:ascii="Wingdings" w:hAnsi="Wingdings" w:hint="default"/>
      </w:rPr>
    </w:lvl>
  </w:abstractNum>
  <w:abstractNum w:abstractNumId="4" w15:restartNumberingAfterBreak="0">
    <w:nsid w:val="23DC79E7"/>
    <w:multiLevelType w:val="hybridMultilevel"/>
    <w:tmpl w:val="A118A390"/>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34031332"/>
    <w:multiLevelType w:val="hybridMultilevel"/>
    <w:tmpl w:val="A118A390"/>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3A2B3AAE"/>
    <w:multiLevelType w:val="multilevel"/>
    <w:tmpl w:val="1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437062BE"/>
    <w:multiLevelType w:val="hybridMultilevel"/>
    <w:tmpl w:val="A118A39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5DAB32B8"/>
    <w:multiLevelType w:val="hybridMultilevel"/>
    <w:tmpl w:val="A118A39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6190143E"/>
    <w:multiLevelType w:val="hybridMultilevel"/>
    <w:tmpl w:val="62409D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62EC4DC6"/>
    <w:multiLevelType w:val="hybridMultilevel"/>
    <w:tmpl w:val="4E2ECAA2"/>
    <w:lvl w:ilvl="0" w:tplc="621643F8">
      <w:start w:val="1"/>
      <w:numFmt w:val="bullet"/>
      <w:pStyle w:val="bullet"/>
      <w:lvlText w:val=""/>
      <w:lvlJc w:val="left"/>
      <w:pPr>
        <w:ind w:left="717" w:hanging="360"/>
      </w:pPr>
      <w:rPr>
        <w:rFonts w:ascii="Symbol" w:hAnsi="Symbol" w:hint="default"/>
      </w:rPr>
    </w:lvl>
    <w:lvl w:ilvl="1" w:tplc="48090003" w:tentative="1">
      <w:start w:val="1"/>
      <w:numFmt w:val="bullet"/>
      <w:lvlText w:val="o"/>
      <w:lvlJc w:val="left"/>
      <w:pPr>
        <w:ind w:left="1437" w:hanging="360"/>
      </w:pPr>
      <w:rPr>
        <w:rFonts w:ascii="Courier New" w:hAnsi="Courier New" w:cs="Courier New" w:hint="default"/>
      </w:rPr>
    </w:lvl>
    <w:lvl w:ilvl="2" w:tplc="48090005" w:tentative="1">
      <w:start w:val="1"/>
      <w:numFmt w:val="bullet"/>
      <w:lvlText w:val=""/>
      <w:lvlJc w:val="left"/>
      <w:pPr>
        <w:ind w:left="2157" w:hanging="360"/>
      </w:pPr>
      <w:rPr>
        <w:rFonts w:ascii="Wingdings" w:hAnsi="Wingdings" w:hint="default"/>
      </w:rPr>
    </w:lvl>
    <w:lvl w:ilvl="3" w:tplc="48090001" w:tentative="1">
      <w:start w:val="1"/>
      <w:numFmt w:val="bullet"/>
      <w:lvlText w:val=""/>
      <w:lvlJc w:val="left"/>
      <w:pPr>
        <w:ind w:left="2877" w:hanging="360"/>
      </w:pPr>
      <w:rPr>
        <w:rFonts w:ascii="Symbol" w:hAnsi="Symbol" w:hint="default"/>
      </w:rPr>
    </w:lvl>
    <w:lvl w:ilvl="4" w:tplc="48090003" w:tentative="1">
      <w:start w:val="1"/>
      <w:numFmt w:val="bullet"/>
      <w:lvlText w:val="o"/>
      <w:lvlJc w:val="left"/>
      <w:pPr>
        <w:ind w:left="3597" w:hanging="360"/>
      </w:pPr>
      <w:rPr>
        <w:rFonts w:ascii="Courier New" w:hAnsi="Courier New" w:cs="Courier New" w:hint="default"/>
      </w:rPr>
    </w:lvl>
    <w:lvl w:ilvl="5" w:tplc="48090005" w:tentative="1">
      <w:start w:val="1"/>
      <w:numFmt w:val="bullet"/>
      <w:lvlText w:val=""/>
      <w:lvlJc w:val="left"/>
      <w:pPr>
        <w:ind w:left="4317" w:hanging="360"/>
      </w:pPr>
      <w:rPr>
        <w:rFonts w:ascii="Wingdings" w:hAnsi="Wingdings" w:hint="default"/>
      </w:rPr>
    </w:lvl>
    <w:lvl w:ilvl="6" w:tplc="48090001" w:tentative="1">
      <w:start w:val="1"/>
      <w:numFmt w:val="bullet"/>
      <w:lvlText w:val=""/>
      <w:lvlJc w:val="left"/>
      <w:pPr>
        <w:ind w:left="5037" w:hanging="360"/>
      </w:pPr>
      <w:rPr>
        <w:rFonts w:ascii="Symbol" w:hAnsi="Symbol" w:hint="default"/>
      </w:rPr>
    </w:lvl>
    <w:lvl w:ilvl="7" w:tplc="48090003" w:tentative="1">
      <w:start w:val="1"/>
      <w:numFmt w:val="bullet"/>
      <w:lvlText w:val="o"/>
      <w:lvlJc w:val="left"/>
      <w:pPr>
        <w:ind w:left="5757" w:hanging="360"/>
      </w:pPr>
      <w:rPr>
        <w:rFonts w:ascii="Courier New" w:hAnsi="Courier New" w:cs="Courier New" w:hint="default"/>
      </w:rPr>
    </w:lvl>
    <w:lvl w:ilvl="8" w:tplc="48090005" w:tentative="1">
      <w:start w:val="1"/>
      <w:numFmt w:val="bullet"/>
      <w:lvlText w:val=""/>
      <w:lvlJc w:val="left"/>
      <w:pPr>
        <w:ind w:left="6477" w:hanging="360"/>
      </w:pPr>
      <w:rPr>
        <w:rFonts w:ascii="Wingdings" w:hAnsi="Wingdings" w:hint="default"/>
      </w:rPr>
    </w:lvl>
  </w:abstractNum>
  <w:abstractNum w:abstractNumId="11" w15:restartNumberingAfterBreak="0">
    <w:nsid w:val="6A5215A1"/>
    <w:multiLevelType w:val="hybridMultilevel"/>
    <w:tmpl w:val="10C268A2"/>
    <w:lvl w:ilvl="0" w:tplc="14090001">
      <w:start w:val="1"/>
      <w:numFmt w:val="bullet"/>
      <w:lvlText w:val=""/>
      <w:lvlJc w:val="left"/>
      <w:pPr>
        <w:ind w:left="770" w:hanging="360"/>
      </w:pPr>
      <w:rPr>
        <w:rFonts w:ascii="Symbol" w:hAnsi="Symbol" w:hint="default"/>
      </w:rPr>
    </w:lvl>
    <w:lvl w:ilvl="1" w:tplc="14090003">
      <w:start w:val="1"/>
      <w:numFmt w:val="bullet"/>
      <w:lvlText w:val="o"/>
      <w:lvlJc w:val="left"/>
      <w:pPr>
        <w:ind w:left="1490" w:hanging="360"/>
      </w:pPr>
      <w:rPr>
        <w:rFonts w:ascii="Courier New" w:hAnsi="Courier New" w:cs="Courier New" w:hint="default"/>
      </w:rPr>
    </w:lvl>
    <w:lvl w:ilvl="2" w:tplc="14090005" w:tentative="1">
      <w:start w:val="1"/>
      <w:numFmt w:val="bullet"/>
      <w:lvlText w:val=""/>
      <w:lvlJc w:val="left"/>
      <w:pPr>
        <w:ind w:left="2210" w:hanging="360"/>
      </w:pPr>
      <w:rPr>
        <w:rFonts w:ascii="Wingdings" w:hAnsi="Wingdings" w:hint="default"/>
      </w:rPr>
    </w:lvl>
    <w:lvl w:ilvl="3" w:tplc="14090001" w:tentative="1">
      <w:start w:val="1"/>
      <w:numFmt w:val="bullet"/>
      <w:lvlText w:val=""/>
      <w:lvlJc w:val="left"/>
      <w:pPr>
        <w:ind w:left="2930" w:hanging="360"/>
      </w:pPr>
      <w:rPr>
        <w:rFonts w:ascii="Symbol" w:hAnsi="Symbol" w:hint="default"/>
      </w:rPr>
    </w:lvl>
    <w:lvl w:ilvl="4" w:tplc="14090003" w:tentative="1">
      <w:start w:val="1"/>
      <w:numFmt w:val="bullet"/>
      <w:lvlText w:val="o"/>
      <w:lvlJc w:val="left"/>
      <w:pPr>
        <w:ind w:left="3650" w:hanging="360"/>
      </w:pPr>
      <w:rPr>
        <w:rFonts w:ascii="Courier New" w:hAnsi="Courier New" w:cs="Courier New" w:hint="default"/>
      </w:rPr>
    </w:lvl>
    <w:lvl w:ilvl="5" w:tplc="14090005" w:tentative="1">
      <w:start w:val="1"/>
      <w:numFmt w:val="bullet"/>
      <w:lvlText w:val=""/>
      <w:lvlJc w:val="left"/>
      <w:pPr>
        <w:ind w:left="4370" w:hanging="360"/>
      </w:pPr>
      <w:rPr>
        <w:rFonts w:ascii="Wingdings" w:hAnsi="Wingdings" w:hint="default"/>
      </w:rPr>
    </w:lvl>
    <w:lvl w:ilvl="6" w:tplc="14090001" w:tentative="1">
      <w:start w:val="1"/>
      <w:numFmt w:val="bullet"/>
      <w:lvlText w:val=""/>
      <w:lvlJc w:val="left"/>
      <w:pPr>
        <w:ind w:left="5090" w:hanging="360"/>
      </w:pPr>
      <w:rPr>
        <w:rFonts w:ascii="Symbol" w:hAnsi="Symbol" w:hint="default"/>
      </w:rPr>
    </w:lvl>
    <w:lvl w:ilvl="7" w:tplc="14090003" w:tentative="1">
      <w:start w:val="1"/>
      <w:numFmt w:val="bullet"/>
      <w:lvlText w:val="o"/>
      <w:lvlJc w:val="left"/>
      <w:pPr>
        <w:ind w:left="5810" w:hanging="360"/>
      </w:pPr>
      <w:rPr>
        <w:rFonts w:ascii="Courier New" w:hAnsi="Courier New" w:cs="Courier New" w:hint="default"/>
      </w:rPr>
    </w:lvl>
    <w:lvl w:ilvl="8" w:tplc="14090005" w:tentative="1">
      <w:start w:val="1"/>
      <w:numFmt w:val="bullet"/>
      <w:lvlText w:val=""/>
      <w:lvlJc w:val="left"/>
      <w:pPr>
        <w:ind w:left="6530" w:hanging="360"/>
      </w:pPr>
      <w:rPr>
        <w:rFonts w:ascii="Wingdings" w:hAnsi="Wingdings" w:hint="default"/>
      </w:rPr>
    </w:lvl>
  </w:abstractNum>
  <w:abstractNum w:abstractNumId="12" w15:restartNumberingAfterBreak="0">
    <w:nsid w:val="6F223B4E"/>
    <w:multiLevelType w:val="hybridMultilevel"/>
    <w:tmpl w:val="D6E8052C"/>
    <w:lvl w:ilvl="0" w:tplc="14090001">
      <w:start w:val="1"/>
      <w:numFmt w:val="bullet"/>
      <w:lvlText w:val=""/>
      <w:lvlJc w:val="left"/>
      <w:pPr>
        <w:ind w:left="758" w:hanging="360"/>
      </w:pPr>
      <w:rPr>
        <w:rFonts w:ascii="Symbol" w:hAnsi="Symbol" w:hint="default"/>
      </w:rPr>
    </w:lvl>
    <w:lvl w:ilvl="1" w:tplc="14090003" w:tentative="1">
      <w:start w:val="1"/>
      <w:numFmt w:val="bullet"/>
      <w:lvlText w:val="o"/>
      <w:lvlJc w:val="left"/>
      <w:pPr>
        <w:ind w:left="1478" w:hanging="360"/>
      </w:pPr>
      <w:rPr>
        <w:rFonts w:ascii="Courier New" w:hAnsi="Courier New" w:cs="Courier New" w:hint="default"/>
      </w:rPr>
    </w:lvl>
    <w:lvl w:ilvl="2" w:tplc="14090005" w:tentative="1">
      <w:start w:val="1"/>
      <w:numFmt w:val="bullet"/>
      <w:lvlText w:val=""/>
      <w:lvlJc w:val="left"/>
      <w:pPr>
        <w:ind w:left="2198" w:hanging="360"/>
      </w:pPr>
      <w:rPr>
        <w:rFonts w:ascii="Wingdings" w:hAnsi="Wingdings" w:hint="default"/>
      </w:rPr>
    </w:lvl>
    <w:lvl w:ilvl="3" w:tplc="14090001" w:tentative="1">
      <w:start w:val="1"/>
      <w:numFmt w:val="bullet"/>
      <w:lvlText w:val=""/>
      <w:lvlJc w:val="left"/>
      <w:pPr>
        <w:ind w:left="2918" w:hanging="360"/>
      </w:pPr>
      <w:rPr>
        <w:rFonts w:ascii="Symbol" w:hAnsi="Symbol" w:hint="default"/>
      </w:rPr>
    </w:lvl>
    <w:lvl w:ilvl="4" w:tplc="14090003" w:tentative="1">
      <w:start w:val="1"/>
      <w:numFmt w:val="bullet"/>
      <w:lvlText w:val="o"/>
      <w:lvlJc w:val="left"/>
      <w:pPr>
        <w:ind w:left="3638" w:hanging="360"/>
      </w:pPr>
      <w:rPr>
        <w:rFonts w:ascii="Courier New" w:hAnsi="Courier New" w:cs="Courier New" w:hint="default"/>
      </w:rPr>
    </w:lvl>
    <w:lvl w:ilvl="5" w:tplc="14090005" w:tentative="1">
      <w:start w:val="1"/>
      <w:numFmt w:val="bullet"/>
      <w:lvlText w:val=""/>
      <w:lvlJc w:val="left"/>
      <w:pPr>
        <w:ind w:left="4358" w:hanging="360"/>
      </w:pPr>
      <w:rPr>
        <w:rFonts w:ascii="Wingdings" w:hAnsi="Wingdings" w:hint="default"/>
      </w:rPr>
    </w:lvl>
    <w:lvl w:ilvl="6" w:tplc="14090001" w:tentative="1">
      <w:start w:val="1"/>
      <w:numFmt w:val="bullet"/>
      <w:lvlText w:val=""/>
      <w:lvlJc w:val="left"/>
      <w:pPr>
        <w:ind w:left="5078" w:hanging="360"/>
      </w:pPr>
      <w:rPr>
        <w:rFonts w:ascii="Symbol" w:hAnsi="Symbol" w:hint="default"/>
      </w:rPr>
    </w:lvl>
    <w:lvl w:ilvl="7" w:tplc="14090003" w:tentative="1">
      <w:start w:val="1"/>
      <w:numFmt w:val="bullet"/>
      <w:lvlText w:val="o"/>
      <w:lvlJc w:val="left"/>
      <w:pPr>
        <w:ind w:left="5798" w:hanging="360"/>
      </w:pPr>
      <w:rPr>
        <w:rFonts w:ascii="Courier New" w:hAnsi="Courier New" w:cs="Courier New" w:hint="default"/>
      </w:rPr>
    </w:lvl>
    <w:lvl w:ilvl="8" w:tplc="14090005" w:tentative="1">
      <w:start w:val="1"/>
      <w:numFmt w:val="bullet"/>
      <w:lvlText w:val=""/>
      <w:lvlJc w:val="left"/>
      <w:pPr>
        <w:ind w:left="6518" w:hanging="360"/>
      </w:pPr>
      <w:rPr>
        <w:rFonts w:ascii="Wingdings" w:hAnsi="Wingdings" w:hint="default"/>
      </w:rPr>
    </w:lvl>
  </w:abstractNum>
  <w:abstractNum w:abstractNumId="13" w15:restartNumberingAfterBreak="0">
    <w:nsid w:val="70594C7C"/>
    <w:multiLevelType w:val="hybridMultilevel"/>
    <w:tmpl w:val="F6FCA7B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752F4E83"/>
    <w:multiLevelType w:val="hybridMultilevel"/>
    <w:tmpl w:val="911EC9A8"/>
    <w:lvl w:ilvl="0" w:tplc="14090001">
      <w:start w:val="1"/>
      <w:numFmt w:val="bullet"/>
      <w:lvlText w:val=""/>
      <w:lvlJc w:val="left"/>
      <w:pPr>
        <w:ind w:left="810" w:hanging="360"/>
      </w:pPr>
      <w:rPr>
        <w:rFonts w:ascii="Symbol" w:hAnsi="Symbol" w:hint="default"/>
      </w:rPr>
    </w:lvl>
    <w:lvl w:ilvl="1" w:tplc="14090003">
      <w:start w:val="1"/>
      <w:numFmt w:val="bullet"/>
      <w:lvlText w:val="o"/>
      <w:lvlJc w:val="left"/>
      <w:pPr>
        <w:ind w:left="1530" w:hanging="360"/>
      </w:pPr>
      <w:rPr>
        <w:rFonts w:ascii="Courier New" w:hAnsi="Courier New" w:cs="Courier New" w:hint="default"/>
      </w:rPr>
    </w:lvl>
    <w:lvl w:ilvl="2" w:tplc="14090005" w:tentative="1">
      <w:start w:val="1"/>
      <w:numFmt w:val="bullet"/>
      <w:lvlText w:val=""/>
      <w:lvlJc w:val="left"/>
      <w:pPr>
        <w:ind w:left="2250" w:hanging="360"/>
      </w:pPr>
      <w:rPr>
        <w:rFonts w:ascii="Wingdings" w:hAnsi="Wingdings" w:hint="default"/>
      </w:rPr>
    </w:lvl>
    <w:lvl w:ilvl="3" w:tplc="14090001" w:tentative="1">
      <w:start w:val="1"/>
      <w:numFmt w:val="bullet"/>
      <w:lvlText w:val=""/>
      <w:lvlJc w:val="left"/>
      <w:pPr>
        <w:ind w:left="2970" w:hanging="360"/>
      </w:pPr>
      <w:rPr>
        <w:rFonts w:ascii="Symbol" w:hAnsi="Symbol" w:hint="default"/>
      </w:rPr>
    </w:lvl>
    <w:lvl w:ilvl="4" w:tplc="14090003" w:tentative="1">
      <w:start w:val="1"/>
      <w:numFmt w:val="bullet"/>
      <w:lvlText w:val="o"/>
      <w:lvlJc w:val="left"/>
      <w:pPr>
        <w:ind w:left="3690" w:hanging="360"/>
      </w:pPr>
      <w:rPr>
        <w:rFonts w:ascii="Courier New" w:hAnsi="Courier New" w:cs="Courier New" w:hint="default"/>
      </w:rPr>
    </w:lvl>
    <w:lvl w:ilvl="5" w:tplc="14090005" w:tentative="1">
      <w:start w:val="1"/>
      <w:numFmt w:val="bullet"/>
      <w:lvlText w:val=""/>
      <w:lvlJc w:val="left"/>
      <w:pPr>
        <w:ind w:left="4410" w:hanging="360"/>
      </w:pPr>
      <w:rPr>
        <w:rFonts w:ascii="Wingdings" w:hAnsi="Wingdings" w:hint="default"/>
      </w:rPr>
    </w:lvl>
    <w:lvl w:ilvl="6" w:tplc="14090001" w:tentative="1">
      <w:start w:val="1"/>
      <w:numFmt w:val="bullet"/>
      <w:lvlText w:val=""/>
      <w:lvlJc w:val="left"/>
      <w:pPr>
        <w:ind w:left="5130" w:hanging="360"/>
      </w:pPr>
      <w:rPr>
        <w:rFonts w:ascii="Symbol" w:hAnsi="Symbol" w:hint="default"/>
      </w:rPr>
    </w:lvl>
    <w:lvl w:ilvl="7" w:tplc="14090003" w:tentative="1">
      <w:start w:val="1"/>
      <w:numFmt w:val="bullet"/>
      <w:lvlText w:val="o"/>
      <w:lvlJc w:val="left"/>
      <w:pPr>
        <w:ind w:left="5850" w:hanging="360"/>
      </w:pPr>
      <w:rPr>
        <w:rFonts w:ascii="Courier New" w:hAnsi="Courier New" w:cs="Courier New" w:hint="default"/>
      </w:rPr>
    </w:lvl>
    <w:lvl w:ilvl="8" w:tplc="14090005" w:tentative="1">
      <w:start w:val="1"/>
      <w:numFmt w:val="bullet"/>
      <w:lvlText w:val=""/>
      <w:lvlJc w:val="left"/>
      <w:pPr>
        <w:ind w:left="6570" w:hanging="360"/>
      </w:pPr>
      <w:rPr>
        <w:rFonts w:ascii="Wingdings" w:hAnsi="Wingdings" w:hint="default"/>
      </w:rPr>
    </w:lvl>
  </w:abstractNum>
  <w:abstractNum w:abstractNumId="15" w15:restartNumberingAfterBreak="0">
    <w:nsid w:val="7C9A0253"/>
    <w:multiLevelType w:val="hybridMultilevel"/>
    <w:tmpl w:val="CE0C1ED0"/>
    <w:lvl w:ilvl="0" w:tplc="14090001">
      <w:start w:val="1"/>
      <w:numFmt w:val="bullet"/>
      <w:lvlText w:val=""/>
      <w:lvlJc w:val="left"/>
      <w:pPr>
        <w:ind w:left="770" w:hanging="360"/>
      </w:pPr>
      <w:rPr>
        <w:rFonts w:ascii="Symbol" w:hAnsi="Symbol" w:hint="default"/>
      </w:rPr>
    </w:lvl>
    <w:lvl w:ilvl="1" w:tplc="14090003" w:tentative="1">
      <w:start w:val="1"/>
      <w:numFmt w:val="bullet"/>
      <w:lvlText w:val="o"/>
      <w:lvlJc w:val="left"/>
      <w:pPr>
        <w:ind w:left="1490" w:hanging="360"/>
      </w:pPr>
      <w:rPr>
        <w:rFonts w:ascii="Courier New" w:hAnsi="Courier New" w:cs="Courier New" w:hint="default"/>
      </w:rPr>
    </w:lvl>
    <w:lvl w:ilvl="2" w:tplc="14090005" w:tentative="1">
      <w:start w:val="1"/>
      <w:numFmt w:val="bullet"/>
      <w:lvlText w:val=""/>
      <w:lvlJc w:val="left"/>
      <w:pPr>
        <w:ind w:left="2210" w:hanging="360"/>
      </w:pPr>
      <w:rPr>
        <w:rFonts w:ascii="Wingdings" w:hAnsi="Wingdings" w:hint="default"/>
      </w:rPr>
    </w:lvl>
    <w:lvl w:ilvl="3" w:tplc="14090001" w:tentative="1">
      <w:start w:val="1"/>
      <w:numFmt w:val="bullet"/>
      <w:lvlText w:val=""/>
      <w:lvlJc w:val="left"/>
      <w:pPr>
        <w:ind w:left="2930" w:hanging="360"/>
      </w:pPr>
      <w:rPr>
        <w:rFonts w:ascii="Symbol" w:hAnsi="Symbol" w:hint="default"/>
      </w:rPr>
    </w:lvl>
    <w:lvl w:ilvl="4" w:tplc="14090003" w:tentative="1">
      <w:start w:val="1"/>
      <w:numFmt w:val="bullet"/>
      <w:lvlText w:val="o"/>
      <w:lvlJc w:val="left"/>
      <w:pPr>
        <w:ind w:left="3650" w:hanging="360"/>
      </w:pPr>
      <w:rPr>
        <w:rFonts w:ascii="Courier New" w:hAnsi="Courier New" w:cs="Courier New" w:hint="default"/>
      </w:rPr>
    </w:lvl>
    <w:lvl w:ilvl="5" w:tplc="14090005" w:tentative="1">
      <w:start w:val="1"/>
      <w:numFmt w:val="bullet"/>
      <w:lvlText w:val=""/>
      <w:lvlJc w:val="left"/>
      <w:pPr>
        <w:ind w:left="4370" w:hanging="360"/>
      </w:pPr>
      <w:rPr>
        <w:rFonts w:ascii="Wingdings" w:hAnsi="Wingdings" w:hint="default"/>
      </w:rPr>
    </w:lvl>
    <w:lvl w:ilvl="6" w:tplc="14090001" w:tentative="1">
      <w:start w:val="1"/>
      <w:numFmt w:val="bullet"/>
      <w:lvlText w:val=""/>
      <w:lvlJc w:val="left"/>
      <w:pPr>
        <w:ind w:left="5090" w:hanging="360"/>
      </w:pPr>
      <w:rPr>
        <w:rFonts w:ascii="Symbol" w:hAnsi="Symbol" w:hint="default"/>
      </w:rPr>
    </w:lvl>
    <w:lvl w:ilvl="7" w:tplc="14090003" w:tentative="1">
      <w:start w:val="1"/>
      <w:numFmt w:val="bullet"/>
      <w:lvlText w:val="o"/>
      <w:lvlJc w:val="left"/>
      <w:pPr>
        <w:ind w:left="5810" w:hanging="360"/>
      </w:pPr>
      <w:rPr>
        <w:rFonts w:ascii="Courier New" w:hAnsi="Courier New" w:cs="Courier New" w:hint="default"/>
      </w:rPr>
    </w:lvl>
    <w:lvl w:ilvl="8" w:tplc="14090005" w:tentative="1">
      <w:start w:val="1"/>
      <w:numFmt w:val="bullet"/>
      <w:lvlText w:val=""/>
      <w:lvlJc w:val="left"/>
      <w:pPr>
        <w:ind w:left="6530" w:hanging="360"/>
      </w:pPr>
      <w:rPr>
        <w:rFonts w:ascii="Wingdings" w:hAnsi="Wingdings" w:hint="default"/>
      </w:rPr>
    </w:lvl>
  </w:abstractNum>
  <w:num w:numId="1">
    <w:abstractNumId w:val="12"/>
  </w:num>
  <w:num w:numId="2">
    <w:abstractNumId w:val="6"/>
  </w:num>
  <w:num w:numId="3">
    <w:abstractNumId w:val="14"/>
  </w:num>
  <w:num w:numId="4">
    <w:abstractNumId w:val="0"/>
  </w:num>
  <w:num w:numId="5">
    <w:abstractNumId w:val="10"/>
  </w:num>
  <w:num w:numId="6">
    <w:abstractNumId w:val="7"/>
  </w:num>
  <w:num w:numId="7">
    <w:abstractNumId w:val="8"/>
  </w:num>
  <w:num w:numId="8">
    <w:abstractNumId w:val="4"/>
  </w:num>
  <w:num w:numId="9">
    <w:abstractNumId w:val="5"/>
  </w:num>
  <w:num w:numId="10">
    <w:abstractNumId w:val="13"/>
  </w:num>
  <w:num w:numId="11">
    <w:abstractNumId w:val="1"/>
  </w:num>
  <w:num w:numId="12">
    <w:abstractNumId w:val="11"/>
  </w:num>
  <w:num w:numId="13">
    <w:abstractNumId w:val="15"/>
  </w:num>
  <w:num w:numId="14">
    <w:abstractNumId w:val="2"/>
  </w:num>
  <w:num w:numId="15">
    <w:abstractNumId w:val="3"/>
  </w:num>
  <w:num w:numId="16">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n-NZ" w:vendorID="64" w:dllVersion="6" w:nlCheck="1" w:checkStyle="1"/>
  <w:activeWritingStyle w:appName="MSWord" w:lang="en-US" w:vendorID="64" w:dllVersion="6" w:nlCheck="1" w:checkStyle="1"/>
  <w:activeWritingStyle w:appName="MSWord" w:lang="en-GB" w:vendorID="64" w:dllVersion="6" w:nlCheck="1" w:checkStyle="1"/>
  <w:activeWritingStyle w:appName="MSWord" w:lang="en-NZ" w:vendorID="64" w:dllVersion="0" w:nlCheck="1" w:checkStyle="0"/>
  <w:activeWritingStyle w:appName="MSWord" w:lang="en-US" w:vendorID="64" w:dllVersion="0" w:nlCheck="1" w:checkStyle="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23E6"/>
    <w:rsid w:val="000051D4"/>
    <w:rsid w:val="000125CD"/>
    <w:rsid w:val="00017E31"/>
    <w:rsid w:val="000204C8"/>
    <w:rsid w:val="0002152B"/>
    <w:rsid w:val="00022FCC"/>
    <w:rsid w:val="00026D22"/>
    <w:rsid w:val="00027255"/>
    <w:rsid w:val="0003346B"/>
    <w:rsid w:val="000337CC"/>
    <w:rsid w:val="00036534"/>
    <w:rsid w:val="00036E2E"/>
    <w:rsid w:val="000376F1"/>
    <w:rsid w:val="00040ED6"/>
    <w:rsid w:val="000422BA"/>
    <w:rsid w:val="0004236B"/>
    <w:rsid w:val="0004266D"/>
    <w:rsid w:val="000438A1"/>
    <w:rsid w:val="000441F2"/>
    <w:rsid w:val="00044C7C"/>
    <w:rsid w:val="00046A5E"/>
    <w:rsid w:val="00050472"/>
    <w:rsid w:val="00052A8A"/>
    <w:rsid w:val="00052BBB"/>
    <w:rsid w:val="0005601C"/>
    <w:rsid w:val="000578BE"/>
    <w:rsid w:val="00060E57"/>
    <w:rsid w:val="00064724"/>
    <w:rsid w:val="00066C87"/>
    <w:rsid w:val="00066CB8"/>
    <w:rsid w:val="00066DC5"/>
    <w:rsid w:val="000673B1"/>
    <w:rsid w:val="0007201B"/>
    <w:rsid w:val="00074B3E"/>
    <w:rsid w:val="00074E8C"/>
    <w:rsid w:val="0008172E"/>
    <w:rsid w:val="0008219A"/>
    <w:rsid w:val="0008385C"/>
    <w:rsid w:val="00087FB9"/>
    <w:rsid w:val="00091FE8"/>
    <w:rsid w:val="00092400"/>
    <w:rsid w:val="00094369"/>
    <w:rsid w:val="000951D1"/>
    <w:rsid w:val="000961C9"/>
    <w:rsid w:val="00097FC2"/>
    <w:rsid w:val="000A07A8"/>
    <w:rsid w:val="000A0C52"/>
    <w:rsid w:val="000A1188"/>
    <w:rsid w:val="000A23C1"/>
    <w:rsid w:val="000A28FF"/>
    <w:rsid w:val="000A3C6B"/>
    <w:rsid w:val="000A7DF0"/>
    <w:rsid w:val="000B075B"/>
    <w:rsid w:val="000B108F"/>
    <w:rsid w:val="000B2579"/>
    <w:rsid w:val="000B3A46"/>
    <w:rsid w:val="000B3B42"/>
    <w:rsid w:val="000B59C3"/>
    <w:rsid w:val="000B667E"/>
    <w:rsid w:val="000C13D7"/>
    <w:rsid w:val="000C170A"/>
    <w:rsid w:val="000C2286"/>
    <w:rsid w:val="000C3700"/>
    <w:rsid w:val="000C769A"/>
    <w:rsid w:val="000D149F"/>
    <w:rsid w:val="000D4707"/>
    <w:rsid w:val="000E06E1"/>
    <w:rsid w:val="000E18BB"/>
    <w:rsid w:val="000E75E5"/>
    <w:rsid w:val="000F2662"/>
    <w:rsid w:val="000F4621"/>
    <w:rsid w:val="000F5AC8"/>
    <w:rsid w:val="001009C1"/>
    <w:rsid w:val="00101979"/>
    <w:rsid w:val="00102070"/>
    <w:rsid w:val="00102B42"/>
    <w:rsid w:val="00102DB8"/>
    <w:rsid w:val="00106CCB"/>
    <w:rsid w:val="00107800"/>
    <w:rsid w:val="001112B6"/>
    <w:rsid w:val="0011151B"/>
    <w:rsid w:val="00111684"/>
    <w:rsid w:val="00111B27"/>
    <w:rsid w:val="00115501"/>
    <w:rsid w:val="001172F2"/>
    <w:rsid w:val="00122135"/>
    <w:rsid w:val="00122282"/>
    <w:rsid w:val="0012540B"/>
    <w:rsid w:val="00125A16"/>
    <w:rsid w:val="00125F24"/>
    <w:rsid w:val="00127779"/>
    <w:rsid w:val="001278D2"/>
    <w:rsid w:val="00131BAD"/>
    <w:rsid w:val="001321C9"/>
    <w:rsid w:val="00132AB2"/>
    <w:rsid w:val="00133DA9"/>
    <w:rsid w:val="00133EF0"/>
    <w:rsid w:val="00136DE8"/>
    <w:rsid w:val="00137850"/>
    <w:rsid w:val="001401B3"/>
    <w:rsid w:val="00141C50"/>
    <w:rsid w:val="00142748"/>
    <w:rsid w:val="0014688F"/>
    <w:rsid w:val="00147598"/>
    <w:rsid w:val="00147B97"/>
    <w:rsid w:val="00147BBB"/>
    <w:rsid w:val="00152B39"/>
    <w:rsid w:val="00156852"/>
    <w:rsid w:val="00160327"/>
    <w:rsid w:val="00161AAE"/>
    <w:rsid w:val="0016450D"/>
    <w:rsid w:val="00164708"/>
    <w:rsid w:val="00164954"/>
    <w:rsid w:val="00170621"/>
    <w:rsid w:val="0017064A"/>
    <w:rsid w:val="00172245"/>
    <w:rsid w:val="001738EB"/>
    <w:rsid w:val="00175B73"/>
    <w:rsid w:val="0018174D"/>
    <w:rsid w:val="00183C82"/>
    <w:rsid w:val="00185199"/>
    <w:rsid w:val="001921FF"/>
    <w:rsid w:val="00196F69"/>
    <w:rsid w:val="001A40D4"/>
    <w:rsid w:val="001A5400"/>
    <w:rsid w:val="001A54A5"/>
    <w:rsid w:val="001A5556"/>
    <w:rsid w:val="001A6E9F"/>
    <w:rsid w:val="001B0181"/>
    <w:rsid w:val="001B0561"/>
    <w:rsid w:val="001B0831"/>
    <w:rsid w:val="001B242B"/>
    <w:rsid w:val="001B65FB"/>
    <w:rsid w:val="001B7422"/>
    <w:rsid w:val="001B76D2"/>
    <w:rsid w:val="001C28D0"/>
    <w:rsid w:val="001C3B1D"/>
    <w:rsid w:val="001C5316"/>
    <w:rsid w:val="001C6CE0"/>
    <w:rsid w:val="001C766F"/>
    <w:rsid w:val="001D0C02"/>
    <w:rsid w:val="001D1F30"/>
    <w:rsid w:val="001D5F70"/>
    <w:rsid w:val="001E0322"/>
    <w:rsid w:val="001E2707"/>
    <w:rsid w:val="001E3A4C"/>
    <w:rsid w:val="001E6CE0"/>
    <w:rsid w:val="001F0188"/>
    <w:rsid w:val="001F088D"/>
    <w:rsid w:val="001F2EC0"/>
    <w:rsid w:val="00201EEC"/>
    <w:rsid w:val="002028B8"/>
    <w:rsid w:val="00202CA5"/>
    <w:rsid w:val="00203AEE"/>
    <w:rsid w:val="00204427"/>
    <w:rsid w:val="00204D63"/>
    <w:rsid w:val="002053F8"/>
    <w:rsid w:val="00211525"/>
    <w:rsid w:val="00211A60"/>
    <w:rsid w:val="002123B9"/>
    <w:rsid w:val="00213EE4"/>
    <w:rsid w:val="0021524D"/>
    <w:rsid w:val="00216EFA"/>
    <w:rsid w:val="00217793"/>
    <w:rsid w:val="0021790C"/>
    <w:rsid w:val="0022052F"/>
    <w:rsid w:val="00221638"/>
    <w:rsid w:val="002222C0"/>
    <w:rsid w:val="00222D06"/>
    <w:rsid w:val="0022323A"/>
    <w:rsid w:val="00224B7C"/>
    <w:rsid w:val="00226751"/>
    <w:rsid w:val="00226F16"/>
    <w:rsid w:val="00231077"/>
    <w:rsid w:val="00231A0E"/>
    <w:rsid w:val="0023678A"/>
    <w:rsid w:val="00240584"/>
    <w:rsid w:val="00241D10"/>
    <w:rsid w:val="0024446E"/>
    <w:rsid w:val="00252CCD"/>
    <w:rsid w:val="00252DC2"/>
    <w:rsid w:val="00261734"/>
    <w:rsid w:val="00263532"/>
    <w:rsid w:val="00263C5C"/>
    <w:rsid w:val="00266CC5"/>
    <w:rsid w:val="00271E2E"/>
    <w:rsid w:val="00275148"/>
    <w:rsid w:val="00276089"/>
    <w:rsid w:val="00276677"/>
    <w:rsid w:val="00277EA3"/>
    <w:rsid w:val="0028148E"/>
    <w:rsid w:val="00283B9E"/>
    <w:rsid w:val="002873C8"/>
    <w:rsid w:val="00291177"/>
    <w:rsid w:val="002914B5"/>
    <w:rsid w:val="00292387"/>
    <w:rsid w:val="002A0643"/>
    <w:rsid w:val="002A38C7"/>
    <w:rsid w:val="002A4092"/>
    <w:rsid w:val="002A47BA"/>
    <w:rsid w:val="002A68FE"/>
    <w:rsid w:val="002A721F"/>
    <w:rsid w:val="002B1395"/>
    <w:rsid w:val="002B183E"/>
    <w:rsid w:val="002B18B4"/>
    <w:rsid w:val="002B1C93"/>
    <w:rsid w:val="002B1F78"/>
    <w:rsid w:val="002B2383"/>
    <w:rsid w:val="002B43E4"/>
    <w:rsid w:val="002B5F90"/>
    <w:rsid w:val="002D3F2F"/>
    <w:rsid w:val="002E2539"/>
    <w:rsid w:val="002E44DD"/>
    <w:rsid w:val="002E4C0A"/>
    <w:rsid w:val="002E7F6C"/>
    <w:rsid w:val="002E7FC9"/>
    <w:rsid w:val="002F1F13"/>
    <w:rsid w:val="002F6908"/>
    <w:rsid w:val="00303163"/>
    <w:rsid w:val="0030465E"/>
    <w:rsid w:val="003130D4"/>
    <w:rsid w:val="00313828"/>
    <w:rsid w:val="0031428D"/>
    <w:rsid w:val="00317A37"/>
    <w:rsid w:val="00317F3F"/>
    <w:rsid w:val="0032038E"/>
    <w:rsid w:val="00320D7B"/>
    <w:rsid w:val="003218B1"/>
    <w:rsid w:val="00323FE7"/>
    <w:rsid w:val="003241F1"/>
    <w:rsid w:val="00324CEF"/>
    <w:rsid w:val="0032505C"/>
    <w:rsid w:val="00327835"/>
    <w:rsid w:val="003317FA"/>
    <w:rsid w:val="00331AC1"/>
    <w:rsid w:val="00337234"/>
    <w:rsid w:val="00337F13"/>
    <w:rsid w:val="00341108"/>
    <w:rsid w:val="00344706"/>
    <w:rsid w:val="003454D2"/>
    <w:rsid w:val="0034640A"/>
    <w:rsid w:val="00347564"/>
    <w:rsid w:val="00350F3A"/>
    <w:rsid w:val="00353C9F"/>
    <w:rsid w:val="0035510B"/>
    <w:rsid w:val="00355B5C"/>
    <w:rsid w:val="0036063C"/>
    <w:rsid w:val="003630A1"/>
    <w:rsid w:val="003651E0"/>
    <w:rsid w:val="00365513"/>
    <w:rsid w:val="003678D2"/>
    <w:rsid w:val="00370BE5"/>
    <w:rsid w:val="00370C40"/>
    <w:rsid w:val="00371FF4"/>
    <w:rsid w:val="00372475"/>
    <w:rsid w:val="00373284"/>
    <w:rsid w:val="00373F70"/>
    <w:rsid w:val="00376B93"/>
    <w:rsid w:val="00376FA5"/>
    <w:rsid w:val="00380BE5"/>
    <w:rsid w:val="003845B8"/>
    <w:rsid w:val="0038668D"/>
    <w:rsid w:val="00390718"/>
    <w:rsid w:val="00391E2B"/>
    <w:rsid w:val="00396701"/>
    <w:rsid w:val="003A1A1C"/>
    <w:rsid w:val="003A398D"/>
    <w:rsid w:val="003A454B"/>
    <w:rsid w:val="003B2D7E"/>
    <w:rsid w:val="003B3915"/>
    <w:rsid w:val="003C362D"/>
    <w:rsid w:val="003C36EF"/>
    <w:rsid w:val="003D2ADC"/>
    <w:rsid w:val="003D7404"/>
    <w:rsid w:val="003E2388"/>
    <w:rsid w:val="003E3920"/>
    <w:rsid w:val="003E4819"/>
    <w:rsid w:val="003F0AEA"/>
    <w:rsid w:val="003F1359"/>
    <w:rsid w:val="003F237C"/>
    <w:rsid w:val="003F2B93"/>
    <w:rsid w:val="003F3A91"/>
    <w:rsid w:val="003F430E"/>
    <w:rsid w:val="003F7AE7"/>
    <w:rsid w:val="00401151"/>
    <w:rsid w:val="0040299A"/>
    <w:rsid w:val="00406CA0"/>
    <w:rsid w:val="00421182"/>
    <w:rsid w:val="00421FD9"/>
    <w:rsid w:val="00422693"/>
    <w:rsid w:val="00424824"/>
    <w:rsid w:val="00427AB7"/>
    <w:rsid w:val="00427BF3"/>
    <w:rsid w:val="004309ED"/>
    <w:rsid w:val="00435198"/>
    <w:rsid w:val="0043606F"/>
    <w:rsid w:val="00437CBD"/>
    <w:rsid w:val="00443D28"/>
    <w:rsid w:val="004462D6"/>
    <w:rsid w:val="00446521"/>
    <w:rsid w:val="004507FB"/>
    <w:rsid w:val="004519A9"/>
    <w:rsid w:val="0045378D"/>
    <w:rsid w:val="00454C5C"/>
    <w:rsid w:val="00461FD8"/>
    <w:rsid w:val="00463781"/>
    <w:rsid w:val="00465B5D"/>
    <w:rsid w:val="004666A0"/>
    <w:rsid w:val="00466770"/>
    <w:rsid w:val="00470AF2"/>
    <w:rsid w:val="00473AAF"/>
    <w:rsid w:val="0047461B"/>
    <w:rsid w:val="00475CD0"/>
    <w:rsid w:val="00475DB9"/>
    <w:rsid w:val="004768B2"/>
    <w:rsid w:val="0048674D"/>
    <w:rsid w:val="004917D6"/>
    <w:rsid w:val="004948D5"/>
    <w:rsid w:val="004A03C2"/>
    <w:rsid w:val="004A08BA"/>
    <w:rsid w:val="004A1653"/>
    <w:rsid w:val="004A1BC8"/>
    <w:rsid w:val="004A4D50"/>
    <w:rsid w:val="004A511B"/>
    <w:rsid w:val="004B09FB"/>
    <w:rsid w:val="004B18A2"/>
    <w:rsid w:val="004B3E63"/>
    <w:rsid w:val="004B5291"/>
    <w:rsid w:val="004B6393"/>
    <w:rsid w:val="004B7475"/>
    <w:rsid w:val="004C1FD7"/>
    <w:rsid w:val="004C342D"/>
    <w:rsid w:val="004C6888"/>
    <w:rsid w:val="004C6E3D"/>
    <w:rsid w:val="004D03A3"/>
    <w:rsid w:val="004D1B17"/>
    <w:rsid w:val="004D4A10"/>
    <w:rsid w:val="004D598C"/>
    <w:rsid w:val="004D65EF"/>
    <w:rsid w:val="004D7923"/>
    <w:rsid w:val="004D7EBD"/>
    <w:rsid w:val="004E03C7"/>
    <w:rsid w:val="004E287F"/>
    <w:rsid w:val="004F1F4D"/>
    <w:rsid w:val="004F3F4A"/>
    <w:rsid w:val="004F40F9"/>
    <w:rsid w:val="004F4F7D"/>
    <w:rsid w:val="005003CC"/>
    <w:rsid w:val="00500E15"/>
    <w:rsid w:val="00501559"/>
    <w:rsid w:val="00503DAF"/>
    <w:rsid w:val="0050720C"/>
    <w:rsid w:val="00507283"/>
    <w:rsid w:val="0051570E"/>
    <w:rsid w:val="00520FDC"/>
    <w:rsid w:val="00521749"/>
    <w:rsid w:val="00521B2D"/>
    <w:rsid w:val="005239A1"/>
    <w:rsid w:val="00524AF9"/>
    <w:rsid w:val="0052746C"/>
    <w:rsid w:val="00530BD8"/>
    <w:rsid w:val="005325A1"/>
    <w:rsid w:val="00532AFF"/>
    <w:rsid w:val="00536315"/>
    <w:rsid w:val="005365EF"/>
    <w:rsid w:val="00540FD3"/>
    <w:rsid w:val="00541227"/>
    <w:rsid w:val="00542A4A"/>
    <w:rsid w:val="00542E3F"/>
    <w:rsid w:val="005431B6"/>
    <w:rsid w:val="00543A54"/>
    <w:rsid w:val="00550245"/>
    <w:rsid w:val="00550B3D"/>
    <w:rsid w:val="0055332A"/>
    <w:rsid w:val="005537AC"/>
    <w:rsid w:val="00553EB7"/>
    <w:rsid w:val="00566166"/>
    <w:rsid w:val="00571AD8"/>
    <w:rsid w:val="005724DD"/>
    <w:rsid w:val="00572A9C"/>
    <w:rsid w:val="005744AF"/>
    <w:rsid w:val="005745F7"/>
    <w:rsid w:val="00574C1E"/>
    <w:rsid w:val="005751FD"/>
    <w:rsid w:val="00576B4D"/>
    <w:rsid w:val="00580B93"/>
    <w:rsid w:val="00582145"/>
    <w:rsid w:val="005855EF"/>
    <w:rsid w:val="0058597E"/>
    <w:rsid w:val="0058673A"/>
    <w:rsid w:val="005934CB"/>
    <w:rsid w:val="00594B13"/>
    <w:rsid w:val="0059562C"/>
    <w:rsid w:val="005965C8"/>
    <w:rsid w:val="005A242A"/>
    <w:rsid w:val="005A41C2"/>
    <w:rsid w:val="005A6DE1"/>
    <w:rsid w:val="005B15D4"/>
    <w:rsid w:val="005B15EE"/>
    <w:rsid w:val="005B3876"/>
    <w:rsid w:val="005B41A3"/>
    <w:rsid w:val="005B4D41"/>
    <w:rsid w:val="005B591B"/>
    <w:rsid w:val="005B7309"/>
    <w:rsid w:val="005C1F50"/>
    <w:rsid w:val="005C30DA"/>
    <w:rsid w:val="005C4A06"/>
    <w:rsid w:val="005C5403"/>
    <w:rsid w:val="005C6405"/>
    <w:rsid w:val="005C69FE"/>
    <w:rsid w:val="005C730E"/>
    <w:rsid w:val="005D0CA6"/>
    <w:rsid w:val="005D0D90"/>
    <w:rsid w:val="005D3A2F"/>
    <w:rsid w:val="005D3C8F"/>
    <w:rsid w:val="005D6478"/>
    <w:rsid w:val="005D7CF2"/>
    <w:rsid w:val="005E38EF"/>
    <w:rsid w:val="005E3DCC"/>
    <w:rsid w:val="005F230C"/>
    <w:rsid w:val="005F26AF"/>
    <w:rsid w:val="005F4CD3"/>
    <w:rsid w:val="005F7325"/>
    <w:rsid w:val="00604401"/>
    <w:rsid w:val="00604DC7"/>
    <w:rsid w:val="006061FC"/>
    <w:rsid w:val="00612823"/>
    <w:rsid w:val="00612DBC"/>
    <w:rsid w:val="006131D6"/>
    <w:rsid w:val="00614651"/>
    <w:rsid w:val="006164EF"/>
    <w:rsid w:val="00617539"/>
    <w:rsid w:val="00620882"/>
    <w:rsid w:val="00621ECB"/>
    <w:rsid w:val="00623DCC"/>
    <w:rsid w:val="00623F80"/>
    <w:rsid w:val="006243EA"/>
    <w:rsid w:val="006257A4"/>
    <w:rsid w:val="006275C5"/>
    <w:rsid w:val="006316E0"/>
    <w:rsid w:val="006336C7"/>
    <w:rsid w:val="00636735"/>
    <w:rsid w:val="00636DDB"/>
    <w:rsid w:val="00641267"/>
    <w:rsid w:val="00642EBA"/>
    <w:rsid w:val="00643A43"/>
    <w:rsid w:val="006478C7"/>
    <w:rsid w:val="006511A8"/>
    <w:rsid w:val="00651840"/>
    <w:rsid w:val="00651A60"/>
    <w:rsid w:val="00652A8B"/>
    <w:rsid w:val="0065632A"/>
    <w:rsid w:val="00660AF7"/>
    <w:rsid w:val="006642EF"/>
    <w:rsid w:val="00664A67"/>
    <w:rsid w:val="0066650C"/>
    <w:rsid w:val="006669D6"/>
    <w:rsid w:val="00667F02"/>
    <w:rsid w:val="0067100D"/>
    <w:rsid w:val="00671199"/>
    <w:rsid w:val="00673C64"/>
    <w:rsid w:val="0067446F"/>
    <w:rsid w:val="006749D2"/>
    <w:rsid w:val="00674A32"/>
    <w:rsid w:val="00674FCD"/>
    <w:rsid w:val="00675BF3"/>
    <w:rsid w:val="0067774E"/>
    <w:rsid w:val="00680F94"/>
    <w:rsid w:val="00681D39"/>
    <w:rsid w:val="00687E41"/>
    <w:rsid w:val="00690748"/>
    <w:rsid w:val="00691332"/>
    <w:rsid w:val="006915AA"/>
    <w:rsid w:val="00694012"/>
    <w:rsid w:val="00694A28"/>
    <w:rsid w:val="0069707C"/>
    <w:rsid w:val="006A1367"/>
    <w:rsid w:val="006A3557"/>
    <w:rsid w:val="006A3B6A"/>
    <w:rsid w:val="006A5EBC"/>
    <w:rsid w:val="006A5EDE"/>
    <w:rsid w:val="006B0C52"/>
    <w:rsid w:val="006B3A1F"/>
    <w:rsid w:val="006C1E88"/>
    <w:rsid w:val="006D0645"/>
    <w:rsid w:val="006D170C"/>
    <w:rsid w:val="006D1F57"/>
    <w:rsid w:val="006D33C0"/>
    <w:rsid w:val="006D39F6"/>
    <w:rsid w:val="006D7BDE"/>
    <w:rsid w:val="006E1A22"/>
    <w:rsid w:val="006E4BC9"/>
    <w:rsid w:val="006E4D68"/>
    <w:rsid w:val="006F2657"/>
    <w:rsid w:val="006F4014"/>
    <w:rsid w:val="00700310"/>
    <w:rsid w:val="0070214B"/>
    <w:rsid w:val="00702610"/>
    <w:rsid w:val="00703A72"/>
    <w:rsid w:val="007052F7"/>
    <w:rsid w:val="00711C56"/>
    <w:rsid w:val="0071406F"/>
    <w:rsid w:val="00714B47"/>
    <w:rsid w:val="007150C8"/>
    <w:rsid w:val="0071712A"/>
    <w:rsid w:val="007179B1"/>
    <w:rsid w:val="00722722"/>
    <w:rsid w:val="00723FE2"/>
    <w:rsid w:val="00725E03"/>
    <w:rsid w:val="00731730"/>
    <w:rsid w:val="00734CB0"/>
    <w:rsid w:val="00737A89"/>
    <w:rsid w:val="007406D7"/>
    <w:rsid w:val="00741035"/>
    <w:rsid w:val="00742AB0"/>
    <w:rsid w:val="00743E3F"/>
    <w:rsid w:val="007467B6"/>
    <w:rsid w:val="00751870"/>
    <w:rsid w:val="00751B32"/>
    <w:rsid w:val="007527DC"/>
    <w:rsid w:val="00756000"/>
    <w:rsid w:val="007617F2"/>
    <w:rsid w:val="00762314"/>
    <w:rsid w:val="007700AA"/>
    <w:rsid w:val="007701C0"/>
    <w:rsid w:val="007737EA"/>
    <w:rsid w:val="00774956"/>
    <w:rsid w:val="00775D26"/>
    <w:rsid w:val="007800DD"/>
    <w:rsid w:val="00781B66"/>
    <w:rsid w:val="0078332F"/>
    <w:rsid w:val="00783A11"/>
    <w:rsid w:val="00784318"/>
    <w:rsid w:val="00785808"/>
    <w:rsid w:val="007859EB"/>
    <w:rsid w:val="00785C62"/>
    <w:rsid w:val="0078672C"/>
    <w:rsid w:val="00790613"/>
    <w:rsid w:val="00791803"/>
    <w:rsid w:val="00792D2E"/>
    <w:rsid w:val="0079347C"/>
    <w:rsid w:val="00793A6F"/>
    <w:rsid w:val="007A49EC"/>
    <w:rsid w:val="007B054C"/>
    <w:rsid w:val="007B0660"/>
    <w:rsid w:val="007B2105"/>
    <w:rsid w:val="007B3C8D"/>
    <w:rsid w:val="007B5AA1"/>
    <w:rsid w:val="007B6D9C"/>
    <w:rsid w:val="007C0FF1"/>
    <w:rsid w:val="007C14FD"/>
    <w:rsid w:val="007C2243"/>
    <w:rsid w:val="007D3645"/>
    <w:rsid w:val="007E367F"/>
    <w:rsid w:val="007E4376"/>
    <w:rsid w:val="007E4D88"/>
    <w:rsid w:val="007E533A"/>
    <w:rsid w:val="007E7358"/>
    <w:rsid w:val="007E7EB5"/>
    <w:rsid w:val="007F342C"/>
    <w:rsid w:val="007F42DD"/>
    <w:rsid w:val="007F5EA2"/>
    <w:rsid w:val="008008A0"/>
    <w:rsid w:val="008015D4"/>
    <w:rsid w:val="008023B8"/>
    <w:rsid w:val="00802CD1"/>
    <w:rsid w:val="008038A0"/>
    <w:rsid w:val="00805F39"/>
    <w:rsid w:val="00810AC4"/>
    <w:rsid w:val="00810D28"/>
    <w:rsid w:val="00811F6A"/>
    <w:rsid w:val="0081290D"/>
    <w:rsid w:val="00815FBD"/>
    <w:rsid w:val="0081769A"/>
    <w:rsid w:val="00822B56"/>
    <w:rsid w:val="00823BC6"/>
    <w:rsid w:val="00823DFB"/>
    <w:rsid w:val="00825562"/>
    <w:rsid w:val="00825697"/>
    <w:rsid w:val="00825837"/>
    <w:rsid w:val="00825911"/>
    <w:rsid w:val="00827219"/>
    <w:rsid w:val="008322AF"/>
    <w:rsid w:val="008325C9"/>
    <w:rsid w:val="00835086"/>
    <w:rsid w:val="008357AE"/>
    <w:rsid w:val="0084103E"/>
    <w:rsid w:val="0084542E"/>
    <w:rsid w:val="00851CF5"/>
    <w:rsid w:val="00854689"/>
    <w:rsid w:val="00854A8B"/>
    <w:rsid w:val="00855679"/>
    <w:rsid w:val="008611F2"/>
    <w:rsid w:val="00866F0A"/>
    <w:rsid w:val="00867101"/>
    <w:rsid w:val="0086712F"/>
    <w:rsid w:val="0087108A"/>
    <w:rsid w:val="00871209"/>
    <w:rsid w:val="0088015D"/>
    <w:rsid w:val="008815C6"/>
    <w:rsid w:val="00881861"/>
    <w:rsid w:val="008833BA"/>
    <w:rsid w:val="00886FBA"/>
    <w:rsid w:val="008A22F7"/>
    <w:rsid w:val="008A51FE"/>
    <w:rsid w:val="008A5DCC"/>
    <w:rsid w:val="008A796B"/>
    <w:rsid w:val="008B27D1"/>
    <w:rsid w:val="008B2E29"/>
    <w:rsid w:val="008B3F27"/>
    <w:rsid w:val="008B4292"/>
    <w:rsid w:val="008B5E07"/>
    <w:rsid w:val="008B6A02"/>
    <w:rsid w:val="008B718F"/>
    <w:rsid w:val="008B7C6B"/>
    <w:rsid w:val="008C1B67"/>
    <w:rsid w:val="008C5715"/>
    <w:rsid w:val="008C5BFD"/>
    <w:rsid w:val="008C65D3"/>
    <w:rsid w:val="008D08CE"/>
    <w:rsid w:val="008D19BD"/>
    <w:rsid w:val="008D28E6"/>
    <w:rsid w:val="008D493F"/>
    <w:rsid w:val="008D4F4F"/>
    <w:rsid w:val="008D6BFE"/>
    <w:rsid w:val="008D76C8"/>
    <w:rsid w:val="008D7BC7"/>
    <w:rsid w:val="008D7D6F"/>
    <w:rsid w:val="008E0DC1"/>
    <w:rsid w:val="008E0EB8"/>
    <w:rsid w:val="008E2261"/>
    <w:rsid w:val="008E2EBF"/>
    <w:rsid w:val="008E3CD2"/>
    <w:rsid w:val="008E57B6"/>
    <w:rsid w:val="008E7C6B"/>
    <w:rsid w:val="008F027C"/>
    <w:rsid w:val="008F04FC"/>
    <w:rsid w:val="008F195F"/>
    <w:rsid w:val="008F5BFD"/>
    <w:rsid w:val="008F6323"/>
    <w:rsid w:val="008F63B1"/>
    <w:rsid w:val="009021DE"/>
    <w:rsid w:val="009046F5"/>
    <w:rsid w:val="009075CB"/>
    <w:rsid w:val="00911802"/>
    <w:rsid w:val="00916E04"/>
    <w:rsid w:val="00917240"/>
    <w:rsid w:val="00917B62"/>
    <w:rsid w:val="00917C49"/>
    <w:rsid w:val="009202B3"/>
    <w:rsid w:val="009210DD"/>
    <w:rsid w:val="0092128E"/>
    <w:rsid w:val="009229D5"/>
    <w:rsid w:val="0092460B"/>
    <w:rsid w:val="009248DD"/>
    <w:rsid w:val="009261D2"/>
    <w:rsid w:val="0092684D"/>
    <w:rsid w:val="0093334B"/>
    <w:rsid w:val="00933F94"/>
    <w:rsid w:val="00934DA9"/>
    <w:rsid w:val="00936A37"/>
    <w:rsid w:val="0094069F"/>
    <w:rsid w:val="00943E94"/>
    <w:rsid w:val="009454B7"/>
    <w:rsid w:val="00947897"/>
    <w:rsid w:val="009508F9"/>
    <w:rsid w:val="00950D25"/>
    <w:rsid w:val="00951B62"/>
    <w:rsid w:val="00952A5B"/>
    <w:rsid w:val="00957A11"/>
    <w:rsid w:val="00960A97"/>
    <w:rsid w:val="00962609"/>
    <w:rsid w:val="0096542F"/>
    <w:rsid w:val="00965AF8"/>
    <w:rsid w:val="009664BC"/>
    <w:rsid w:val="009724F2"/>
    <w:rsid w:val="0097427B"/>
    <w:rsid w:val="00974498"/>
    <w:rsid w:val="009832C6"/>
    <w:rsid w:val="00985854"/>
    <w:rsid w:val="00985DC5"/>
    <w:rsid w:val="00985E98"/>
    <w:rsid w:val="00987C6F"/>
    <w:rsid w:val="00990BBA"/>
    <w:rsid w:val="00991804"/>
    <w:rsid w:val="00992A17"/>
    <w:rsid w:val="00992C59"/>
    <w:rsid w:val="00994A66"/>
    <w:rsid w:val="009A1F8A"/>
    <w:rsid w:val="009A28E0"/>
    <w:rsid w:val="009A3753"/>
    <w:rsid w:val="009A3DED"/>
    <w:rsid w:val="009A5AE7"/>
    <w:rsid w:val="009A5D1F"/>
    <w:rsid w:val="009A6F5A"/>
    <w:rsid w:val="009B39BD"/>
    <w:rsid w:val="009B6F2B"/>
    <w:rsid w:val="009B7181"/>
    <w:rsid w:val="009C12D0"/>
    <w:rsid w:val="009C1A05"/>
    <w:rsid w:val="009C3C91"/>
    <w:rsid w:val="009C56BD"/>
    <w:rsid w:val="009C7F00"/>
    <w:rsid w:val="009D0502"/>
    <w:rsid w:val="009D446C"/>
    <w:rsid w:val="009D6EC0"/>
    <w:rsid w:val="009D7C42"/>
    <w:rsid w:val="009E0083"/>
    <w:rsid w:val="009E0378"/>
    <w:rsid w:val="009E17C1"/>
    <w:rsid w:val="009E1BF1"/>
    <w:rsid w:val="009E3FDC"/>
    <w:rsid w:val="009E7696"/>
    <w:rsid w:val="009F0891"/>
    <w:rsid w:val="009F1E4E"/>
    <w:rsid w:val="009F5B2D"/>
    <w:rsid w:val="009F5BEB"/>
    <w:rsid w:val="009F670E"/>
    <w:rsid w:val="009F6E8D"/>
    <w:rsid w:val="009F76EF"/>
    <w:rsid w:val="009F7B15"/>
    <w:rsid w:val="00A01374"/>
    <w:rsid w:val="00A0149A"/>
    <w:rsid w:val="00A01A98"/>
    <w:rsid w:val="00A05195"/>
    <w:rsid w:val="00A06404"/>
    <w:rsid w:val="00A11F7F"/>
    <w:rsid w:val="00A15217"/>
    <w:rsid w:val="00A21838"/>
    <w:rsid w:val="00A25A3B"/>
    <w:rsid w:val="00A25F37"/>
    <w:rsid w:val="00A27146"/>
    <w:rsid w:val="00A31479"/>
    <w:rsid w:val="00A345D5"/>
    <w:rsid w:val="00A34FA7"/>
    <w:rsid w:val="00A3687D"/>
    <w:rsid w:val="00A41D11"/>
    <w:rsid w:val="00A41FAD"/>
    <w:rsid w:val="00A420BE"/>
    <w:rsid w:val="00A4297A"/>
    <w:rsid w:val="00A429BD"/>
    <w:rsid w:val="00A42C7C"/>
    <w:rsid w:val="00A50678"/>
    <w:rsid w:val="00A50CC6"/>
    <w:rsid w:val="00A513D5"/>
    <w:rsid w:val="00A51E63"/>
    <w:rsid w:val="00A52FA9"/>
    <w:rsid w:val="00A57104"/>
    <w:rsid w:val="00A67132"/>
    <w:rsid w:val="00A677A0"/>
    <w:rsid w:val="00A75761"/>
    <w:rsid w:val="00A767E1"/>
    <w:rsid w:val="00A80C79"/>
    <w:rsid w:val="00A83A5E"/>
    <w:rsid w:val="00A83E54"/>
    <w:rsid w:val="00A850E7"/>
    <w:rsid w:val="00A85713"/>
    <w:rsid w:val="00A90DAB"/>
    <w:rsid w:val="00A92271"/>
    <w:rsid w:val="00A9379F"/>
    <w:rsid w:val="00A97AC5"/>
    <w:rsid w:val="00A97C0D"/>
    <w:rsid w:val="00AA15C2"/>
    <w:rsid w:val="00AA214F"/>
    <w:rsid w:val="00AA5BE1"/>
    <w:rsid w:val="00AB0BBA"/>
    <w:rsid w:val="00AB1452"/>
    <w:rsid w:val="00AB2A74"/>
    <w:rsid w:val="00AB2ED0"/>
    <w:rsid w:val="00AB4E25"/>
    <w:rsid w:val="00AB7C9A"/>
    <w:rsid w:val="00AC0853"/>
    <w:rsid w:val="00AC141F"/>
    <w:rsid w:val="00AC1AEF"/>
    <w:rsid w:val="00AC394A"/>
    <w:rsid w:val="00AC3956"/>
    <w:rsid w:val="00AC3D1D"/>
    <w:rsid w:val="00AC6F72"/>
    <w:rsid w:val="00AD483F"/>
    <w:rsid w:val="00AD6D63"/>
    <w:rsid w:val="00AE00D6"/>
    <w:rsid w:val="00AE165E"/>
    <w:rsid w:val="00AE2B16"/>
    <w:rsid w:val="00AE784A"/>
    <w:rsid w:val="00AF3982"/>
    <w:rsid w:val="00AF43B2"/>
    <w:rsid w:val="00AF5C59"/>
    <w:rsid w:val="00AF6581"/>
    <w:rsid w:val="00AF6FB3"/>
    <w:rsid w:val="00B0029C"/>
    <w:rsid w:val="00B01D0A"/>
    <w:rsid w:val="00B02A4A"/>
    <w:rsid w:val="00B034B3"/>
    <w:rsid w:val="00B036ED"/>
    <w:rsid w:val="00B0512E"/>
    <w:rsid w:val="00B11607"/>
    <w:rsid w:val="00B11846"/>
    <w:rsid w:val="00B14313"/>
    <w:rsid w:val="00B14FDB"/>
    <w:rsid w:val="00B1633B"/>
    <w:rsid w:val="00B225B7"/>
    <w:rsid w:val="00B22CA4"/>
    <w:rsid w:val="00B23AB6"/>
    <w:rsid w:val="00B24296"/>
    <w:rsid w:val="00B2558E"/>
    <w:rsid w:val="00B26508"/>
    <w:rsid w:val="00B30A2D"/>
    <w:rsid w:val="00B311C9"/>
    <w:rsid w:val="00B37941"/>
    <w:rsid w:val="00B4442F"/>
    <w:rsid w:val="00B44E03"/>
    <w:rsid w:val="00B461A8"/>
    <w:rsid w:val="00B4787C"/>
    <w:rsid w:val="00B4795E"/>
    <w:rsid w:val="00B502D2"/>
    <w:rsid w:val="00B533BD"/>
    <w:rsid w:val="00B5445D"/>
    <w:rsid w:val="00B552A6"/>
    <w:rsid w:val="00B56957"/>
    <w:rsid w:val="00B56E13"/>
    <w:rsid w:val="00B6167E"/>
    <w:rsid w:val="00B64D06"/>
    <w:rsid w:val="00B66265"/>
    <w:rsid w:val="00B670A3"/>
    <w:rsid w:val="00B70DE0"/>
    <w:rsid w:val="00B72C14"/>
    <w:rsid w:val="00B75E89"/>
    <w:rsid w:val="00B82767"/>
    <w:rsid w:val="00B9132E"/>
    <w:rsid w:val="00B923B0"/>
    <w:rsid w:val="00B92C73"/>
    <w:rsid w:val="00B94C36"/>
    <w:rsid w:val="00B954A5"/>
    <w:rsid w:val="00BA05CB"/>
    <w:rsid w:val="00BA05E4"/>
    <w:rsid w:val="00BA2DC9"/>
    <w:rsid w:val="00BA4D79"/>
    <w:rsid w:val="00BA53F6"/>
    <w:rsid w:val="00BA593C"/>
    <w:rsid w:val="00BB100F"/>
    <w:rsid w:val="00BB1D2B"/>
    <w:rsid w:val="00BB2EE8"/>
    <w:rsid w:val="00BB3CCA"/>
    <w:rsid w:val="00BB52D3"/>
    <w:rsid w:val="00BB723F"/>
    <w:rsid w:val="00BB7F47"/>
    <w:rsid w:val="00BC036F"/>
    <w:rsid w:val="00BC289E"/>
    <w:rsid w:val="00BC702C"/>
    <w:rsid w:val="00BD1944"/>
    <w:rsid w:val="00BD2F86"/>
    <w:rsid w:val="00BD7BED"/>
    <w:rsid w:val="00BE2D4C"/>
    <w:rsid w:val="00BE367D"/>
    <w:rsid w:val="00BE38D3"/>
    <w:rsid w:val="00BE5C0B"/>
    <w:rsid w:val="00BE5FAD"/>
    <w:rsid w:val="00BE641D"/>
    <w:rsid w:val="00BE678A"/>
    <w:rsid w:val="00BF004C"/>
    <w:rsid w:val="00BF07DC"/>
    <w:rsid w:val="00BF1E89"/>
    <w:rsid w:val="00BF3510"/>
    <w:rsid w:val="00BF4D5F"/>
    <w:rsid w:val="00BF69B0"/>
    <w:rsid w:val="00BF7E51"/>
    <w:rsid w:val="00C005DC"/>
    <w:rsid w:val="00C00E07"/>
    <w:rsid w:val="00C02418"/>
    <w:rsid w:val="00C0375E"/>
    <w:rsid w:val="00C04D48"/>
    <w:rsid w:val="00C063A7"/>
    <w:rsid w:val="00C06E77"/>
    <w:rsid w:val="00C10E54"/>
    <w:rsid w:val="00C1204A"/>
    <w:rsid w:val="00C13C48"/>
    <w:rsid w:val="00C1435F"/>
    <w:rsid w:val="00C1527C"/>
    <w:rsid w:val="00C16BBE"/>
    <w:rsid w:val="00C21C88"/>
    <w:rsid w:val="00C22026"/>
    <w:rsid w:val="00C3209F"/>
    <w:rsid w:val="00C35493"/>
    <w:rsid w:val="00C413DF"/>
    <w:rsid w:val="00C416C7"/>
    <w:rsid w:val="00C44763"/>
    <w:rsid w:val="00C455E7"/>
    <w:rsid w:val="00C46641"/>
    <w:rsid w:val="00C47769"/>
    <w:rsid w:val="00C52024"/>
    <w:rsid w:val="00C520AF"/>
    <w:rsid w:val="00C5281E"/>
    <w:rsid w:val="00C52D07"/>
    <w:rsid w:val="00C5401B"/>
    <w:rsid w:val="00C57133"/>
    <w:rsid w:val="00C6252A"/>
    <w:rsid w:val="00C67659"/>
    <w:rsid w:val="00C74151"/>
    <w:rsid w:val="00C74B39"/>
    <w:rsid w:val="00C755A1"/>
    <w:rsid w:val="00C770CC"/>
    <w:rsid w:val="00C837A9"/>
    <w:rsid w:val="00C857AE"/>
    <w:rsid w:val="00C87F16"/>
    <w:rsid w:val="00C90206"/>
    <w:rsid w:val="00C928AC"/>
    <w:rsid w:val="00C951DB"/>
    <w:rsid w:val="00C96273"/>
    <w:rsid w:val="00CA3D85"/>
    <w:rsid w:val="00CA3D93"/>
    <w:rsid w:val="00CA59A2"/>
    <w:rsid w:val="00CA5CCA"/>
    <w:rsid w:val="00CA7D2E"/>
    <w:rsid w:val="00CB4590"/>
    <w:rsid w:val="00CB56BD"/>
    <w:rsid w:val="00CB5809"/>
    <w:rsid w:val="00CB5FC9"/>
    <w:rsid w:val="00CB7170"/>
    <w:rsid w:val="00CB7C84"/>
    <w:rsid w:val="00CC013F"/>
    <w:rsid w:val="00CC1D66"/>
    <w:rsid w:val="00CC3ADB"/>
    <w:rsid w:val="00CE086C"/>
    <w:rsid w:val="00CE3CC7"/>
    <w:rsid w:val="00CE601B"/>
    <w:rsid w:val="00CE6BB5"/>
    <w:rsid w:val="00CE76C6"/>
    <w:rsid w:val="00CF1287"/>
    <w:rsid w:val="00CF396A"/>
    <w:rsid w:val="00CF4DD4"/>
    <w:rsid w:val="00CF5BFD"/>
    <w:rsid w:val="00CF6890"/>
    <w:rsid w:val="00D01284"/>
    <w:rsid w:val="00D01367"/>
    <w:rsid w:val="00D027D0"/>
    <w:rsid w:val="00D05152"/>
    <w:rsid w:val="00D05A7E"/>
    <w:rsid w:val="00D06F09"/>
    <w:rsid w:val="00D11DAB"/>
    <w:rsid w:val="00D15CFF"/>
    <w:rsid w:val="00D16C3B"/>
    <w:rsid w:val="00D179EC"/>
    <w:rsid w:val="00D20A61"/>
    <w:rsid w:val="00D220C0"/>
    <w:rsid w:val="00D22819"/>
    <w:rsid w:val="00D22C86"/>
    <w:rsid w:val="00D23EC1"/>
    <w:rsid w:val="00D25457"/>
    <w:rsid w:val="00D255E7"/>
    <w:rsid w:val="00D2579A"/>
    <w:rsid w:val="00D278A9"/>
    <w:rsid w:val="00D32F47"/>
    <w:rsid w:val="00D3527C"/>
    <w:rsid w:val="00D368BE"/>
    <w:rsid w:val="00D3746C"/>
    <w:rsid w:val="00D51AAF"/>
    <w:rsid w:val="00D52002"/>
    <w:rsid w:val="00D5346D"/>
    <w:rsid w:val="00D53636"/>
    <w:rsid w:val="00D54719"/>
    <w:rsid w:val="00D548F0"/>
    <w:rsid w:val="00D55981"/>
    <w:rsid w:val="00D5606B"/>
    <w:rsid w:val="00D56F11"/>
    <w:rsid w:val="00D6215D"/>
    <w:rsid w:val="00D6535F"/>
    <w:rsid w:val="00D65C3E"/>
    <w:rsid w:val="00D660B2"/>
    <w:rsid w:val="00D66DA3"/>
    <w:rsid w:val="00D75759"/>
    <w:rsid w:val="00D76CFB"/>
    <w:rsid w:val="00D86BBF"/>
    <w:rsid w:val="00D91B3C"/>
    <w:rsid w:val="00D95D41"/>
    <w:rsid w:val="00D95FA5"/>
    <w:rsid w:val="00D963C6"/>
    <w:rsid w:val="00D97F28"/>
    <w:rsid w:val="00DA014B"/>
    <w:rsid w:val="00DA6856"/>
    <w:rsid w:val="00DA68D8"/>
    <w:rsid w:val="00DB4983"/>
    <w:rsid w:val="00DB50F1"/>
    <w:rsid w:val="00DB5BE5"/>
    <w:rsid w:val="00DB5E01"/>
    <w:rsid w:val="00DB6814"/>
    <w:rsid w:val="00DB6D70"/>
    <w:rsid w:val="00DC2387"/>
    <w:rsid w:val="00DC264E"/>
    <w:rsid w:val="00DC40AF"/>
    <w:rsid w:val="00DC71AF"/>
    <w:rsid w:val="00DD0FFD"/>
    <w:rsid w:val="00DD1CFF"/>
    <w:rsid w:val="00DD24CD"/>
    <w:rsid w:val="00DD4974"/>
    <w:rsid w:val="00DE02E4"/>
    <w:rsid w:val="00DE26DF"/>
    <w:rsid w:val="00DE4981"/>
    <w:rsid w:val="00DE55E7"/>
    <w:rsid w:val="00DF629E"/>
    <w:rsid w:val="00DF748A"/>
    <w:rsid w:val="00E038DA"/>
    <w:rsid w:val="00E06577"/>
    <w:rsid w:val="00E0705D"/>
    <w:rsid w:val="00E1500C"/>
    <w:rsid w:val="00E159B6"/>
    <w:rsid w:val="00E16266"/>
    <w:rsid w:val="00E163D7"/>
    <w:rsid w:val="00E1754D"/>
    <w:rsid w:val="00E206ED"/>
    <w:rsid w:val="00E246D2"/>
    <w:rsid w:val="00E25B85"/>
    <w:rsid w:val="00E27D3F"/>
    <w:rsid w:val="00E31180"/>
    <w:rsid w:val="00E32B9E"/>
    <w:rsid w:val="00E3408B"/>
    <w:rsid w:val="00E3470C"/>
    <w:rsid w:val="00E3615A"/>
    <w:rsid w:val="00E4219A"/>
    <w:rsid w:val="00E45C71"/>
    <w:rsid w:val="00E504C5"/>
    <w:rsid w:val="00E51EF4"/>
    <w:rsid w:val="00E616F0"/>
    <w:rsid w:val="00E6190D"/>
    <w:rsid w:val="00E61FBF"/>
    <w:rsid w:val="00E6204B"/>
    <w:rsid w:val="00E63ED1"/>
    <w:rsid w:val="00E63FAA"/>
    <w:rsid w:val="00E71085"/>
    <w:rsid w:val="00E77CAE"/>
    <w:rsid w:val="00E80743"/>
    <w:rsid w:val="00E80D5F"/>
    <w:rsid w:val="00E81081"/>
    <w:rsid w:val="00E83B67"/>
    <w:rsid w:val="00E84D04"/>
    <w:rsid w:val="00E867E9"/>
    <w:rsid w:val="00E87DA3"/>
    <w:rsid w:val="00E916C8"/>
    <w:rsid w:val="00E93E61"/>
    <w:rsid w:val="00E93F5E"/>
    <w:rsid w:val="00E96AEB"/>
    <w:rsid w:val="00E97D3E"/>
    <w:rsid w:val="00EA32ED"/>
    <w:rsid w:val="00EA4694"/>
    <w:rsid w:val="00EB247C"/>
    <w:rsid w:val="00EB2E0F"/>
    <w:rsid w:val="00EB462B"/>
    <w:rsid w:val="00EB478D"/>
    <w:rsid w:val="00EC0C72"/>
    <w:rsid w:val="00EC2600"/>
    <w:rsid w:val="00EC786D"/>
    <w:rsid w:val="00ED1427"/>
    <w:rsid w:val="00ED63F8"/>
    <w:rsid w:val="00ED7CDC"/>
    <w:rsid w:val="00EE0D9A"/>
    <w:rsid w:val="00EE0DFB"/>
    <w:rsid w:val="00EE5617"/>
    <w:rsid w:val="00EF23E6"/>
    <w:rsid w:val="00EF2505"/>
    <w:rsid w:val="00EF7410"/>
    <w:rsid w:val="00F00A08"/>
    <w:rsid w:val="00F06A33"/>
    <w:rsid w:val="00F06E85"/>
    <w:rsid w:val="00F105E1"/>
    <w:rsid w:val="00F130EE"/>
    <w:rsid w:val="00F134CA"/>
    <w:rsid w:val="00F16249"/>
    <w:rsid w:val="00F16B34"/>
    <w:rsid w:val="00F204C6"/>
    <w:rsid w:val="00F24176"/>
    <w:rsid w:val="00F30980"/>
    <w:rsid w:val="00F31380"/>
    <w:rsid w:val="00F31B60"/>
    <w:rsid w:val="00F31D42"/>
    <w:rsid w:val="00F34312"/>
    <w:rsid w:val="00F34E2A"/>
    <w:rsid w:val="00F35A64"/>
    <w:rsid w:val="00F41869"/>
    <w:rsid w:val="00F429D6"/>
    <w:rsid w:val="00F44064"/>
    <w:rsid w:val="00F4513F"/>
    <w:rsid w:val="00F46672"/>
    <w:rsid w:val="00F56FEF"/>
    <w:rsid w:val="00F60B9E"/>
    <w:rsid w:val="00F614B5"/>
    <w:rsid w:val="00F64D3F"/>
    <w:rsid w:val="00F66855"/>
    <w:rsid w:val="00F67140"/>
    <w:rsid w:val="00F70BC7"/>
    <w:rsid w:val="00F7458D"/>
    <w:rsid w:val="00F76428"/>
    <w:rsid w:val="00F76FB2"/>
    <w:rsid w:val="00F771F9"/>
    <w:rsid w:val="00F87509"/>
    <w:rsid w:val="00F90D5B"/>
    <w:rsid w:val="00F918E8"/>
    <w:rsid w:val="00F935C7"/>
    <w:rsid w:val="00F93801"/>
    <w:rsid w:val="00F964D8"/>
    <w:rsid w:val="00F9677B"/>
    <w:rsid w:val="00F97872"/>
    <w:rsid w:val="00FA022C"/>
    <w:rsid w:val="00FA0BC9"/>
    <w:rsid w:val="00FA13E9"/>
    <w:rsid w:val="00FA456C"/>
    <w:rsid w:val="00FA5509"/>
    <w:rsid w:val="00FA5818"/>
    <w:rsid w:val="00FA7408"/>
    <w:rsid w:val="00FA7DE7"/>
    <w:rsid w:val="00FA7E63"/>
    <w:rsid w:val="00FB327B"/>
    <w:rsid w:val="00FB5753"/>
    <w:rsid w:val="00FB5845"/>
    <w:rsid w:val="00FB5BC0"/>
    <w:rsid w:val="00FC666B"/>
    <w:rsid w:val="00FD04B3"/>
    <w:rsid w:val="00FD2DBB"/>
    <w:rsid w:val="00FD795D"/>
    <w:rsid w:val="00FE0668"/>
    <w:rsid w:val="00FE0F6C"/>
    <w:rsid w:val="00FE4D96"/>
    <w:rsid w:val="00FE5BDA"/>
    <w:rsid w:val="00FF090A"/>
    <w:rsid w:val="00FF2B2D"/>
    <w:rsid w:val="00FF32A5"/>
    <w:rsid w:val="00FF4790"/>
    <w:rsid w:val="00FF5FEA"/>
    <w:rsid w:val="00FF7D24"/>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F6077CF"/>
  <w15:docId w15:val="{145755D6-941C-4A82-87A7-694BEC4FE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E5617"/>
    <w:pPr>
      <w:jc w:val="both"/>
    </w:pPr>
  </w:style>
  <w:style w:type="paragraph" w:styleId="Heading1">
    <w:name w:val="heading 1"/>
    <w:basedOn w:val="Normal"/>
    <w:next w:val="Normal"/>
    <w:link w:val="Heading1Char"/>
    <w:uiPriority w:val="9"/>
    <w:qFormat/>
    <w:rsid w:val="00D56F11"/>
    <w:pPr>
      <w:keepNext/>
      <w:keepLines/>
      <w:numPr>
        <w:numId w:val="2"/>
      </w:numPr>
      <w:spacing w:before="240" w:after="0"/>
      <w:jc w:val="left"/>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0299A"/>
    <w:pPr>
      <w:keepNext/>
      <w:keepLines/>
      <w:numPr>
        <w:ilvl w:val="1"/>
        <w:numId w:val="2"/>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40299A"/>
    <w:pPr>
      <w:keepNext/>
      <w:keepLines/>
      <w:numPr>
        <w:ilvl w:val="2"/>
        <w:numId w:val="2"/>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40299A"/>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0299A"/>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40299A"/>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40299A"/>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40299A"/>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0299A"/>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34CB0"/>
    <w:pPr>
      <w:ind w:left="720"/>
      <w:contextualSpacing/>
    </w:pPr>
  </w:style>
  <w:style w:type="paragraph" w:styleId="BalloonText">
    <w:name w:val="Balloon Text"/>
    <w:basedOn w:val="Normal"/>
    <w:link w:val="BalloonTextChar"/>
    <w:uiPriority w:val="99"/>
    <w:semiHidden/>
    <w:unhideWhenUsed/>
    <w:rsid w:val="00C320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209F"/>
    <w:rPr>
      <w:rFonts w:ascii="Segoe UI" w:hAnsi="Segoe UI" w:cs="Segoe UI"/>
      <w:sz w:val="18"/>
      <w:szCs w:val="18"/>
    </w:rPr>
  </w:style>
  <w:style w:type="paragraph" w:styleId="FootnoteText">
    <w:name w:val="footnote text"/>
    <w:aliases w:val="FOOTNOTES,fn,single space,footnote text,Fußnotentextf,Char,Texto nota pie Car Car Car,Footnote Text Char Char Char,Footnote Text1 Char,Footnote Text2,Footnote Text Char Char Char1 Char,Footnote Text Char Char Char1,ADB,Geneva 9,Boston,f,F"/>
    <w:basedOn w:val="Normal"/>
    <w:link w:val="FootnoteTextChar"/>
    <w:uiPriority w:val="99"/>
    <w:unhideWhenUsed/>
    <w:qFormat/>
    <w:rsid w:val="005965C8"/>
    <w:pPr>
      <w:spacing w:after="0" w:line="240" w:lineRule="auto"/>
    </w:pPr>
    <w:rPr>
      <w:sz w:val="20"/>
      <w:szCs w:val="20"/>
    </w:rPr>
  </w:style>
  <w:style w:type="character" w:customStyle="1" w:styleId="FootnoteTextChar">
    <w:name w:val="Footnote Text Char"/>
    <w:aliases w:val="FOOTNOTES Char,fn Char,single space Char,footnote text Char,Fußnotentextf Char,Char Char,Texto nota pie Car Car Car Char,Footnote Text Char Char Char Char,Footnote Text1 Char Char,Footnote Text2 Char,ADB Char,Geneva 9 Char,Boston Char"/>
    <w:basedOn w:val="DefaultParagraphFont"/>
    <w:link w:val="FootnoteText"/>
    <w:uiPriority w:val="99"/>
    <w:qFormat/>
    <w:rsid w:val="005965C8"/>
    <w:rPr>
      <w:sz w:val="20"/>
      <w:szCs w:val="20"/>
    </w:rPr>
  </w:style>
  <w:style w:type="character" w:styleId="FootnoteReference">
    <w:name w:val="footnote reference"/>
    <w:aliases w:val="SUPERS,ftref,16 Point,Superscript 6 Point,(NECG) Footnote Reference,BVI fnr,ftref Char Char,16 Point Char Char,Superscript 6 Point Char Char,ftref Char Char Char Char Char,16 Point Char Char Char Char Char,Style 6 + Calibri,12 p..."/>
    <w:basedOn w:val="DefaultParagraphFont"/>
    <w:link w:val="ftrefChar"/>
    <w:uiPriority w:val="99"/>
    <w:unhideWhenUsed/>
    <w:qFormat/>
    <w:rsid w:val="005965C8"/>
    <w:rPr>
      <w:vertAlign w:val="superscript"/>
    </w:rPr>
  </w:style>
  <w:style w:type="character" w:styleId="Hyperlink">
    <w:name w:val="Hyperlink"/>
    <w:basedOn w:val="DefaultParagraphFont"/>
    <w:uiPriority w:val="99"/>
    <w:unhideWhenUsed/>
    <w:rsid w:val="007E4376"/>
    <w:rPr>
      <w:color w:val="0000FF"/>
      <w:u w:val="single"/>
    </w:rPr>
  </w:style>
  <w:style w:type="character" w:customStyle="1" w:styleId="Heading1Char">
    <w:name w:val="Heading 1 Char"/>
    <w:basedOn w:val="DefaultParagraphFont"/>
    <w:link w:val="Heading1"/>
    <w:uiPriority w:val="9"/>
    <w:rsid w:val="00D56F11"/>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1A54A5"/>
    <w:pPr>
      <w:outlineLvl w:val="9"/>
    </w:pPr>
    <w:rPr>
      <w:lang w:val="en-US"/>
    </w:rPr>
  </w:style>
  <w:style w:type="paragraph" w:styleId="TOC1">
    <w:name w:val="toc 1"/>
    <w:basedOn w:val="Normal"/>
    <w:next w:val="Normal"/>
    <w:autoRedefine/>
    <w:uiPriority w:val="39"/>
    <w:unhideWhenUsed/>
    <w:rsid w:val="001A54A5"/>
    <w:pPr>
      <w:spacing w:after="100"/>
    </w:pPr>
  </w:style>
  <w:style w:type="character" w:customStyle="1" w:styleId="UnresolvedMention1">
    <w:name w:val="Unresolved Mention1"/>
    <w:basedOn w:val="DefaultParagraphFont"/>
    <w:uiPriority w:val="99"/>
    <w:semiHidden/>
    <w:unhideWhenUsed/>
    <w:rsid w:val="00266CC5"/>
    <w:rPr>
      <w:color w:val="605E5C"/>
      <w:shd w:val="clear" w:color="auto" w:fill="E1DFDD"/>
    </w:rPr>
  </w:style>
  <w:style w:type="character" w:styleId="FollowedHyperlink">
    <w:name w:val="FollowedHyperlink"/>
    <w:basedOn w:val="DefaultParagraphFont"/>
    <w:uiPriority w:val="99"/>
    <w:semiHidden/>
    <w:unhideWhenUsed/>
    <w:rsid w:val="000422BA"/>
    <w:rPr>
      <w:color w:val="954F72" w:themeColor="followedHyperlink"/>
      <w:u w:val="single"/>
    </w:rPr>
  </w:style>
  <w:style w:type="character" w:customStyle="1" w:styleId="Heading2Char">
    <w:name w:val="Heading 2 Char"/>
    <w:basedOn w:val="DefaultParagraphFont"/>
    <w:link w:val="Heading2"/>
    <w:uiPriority w:val="9"/>
    <w:rsid w:val="0040299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40299A"/>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40299A"/>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0299A"/>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40299A"/>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40299A"/>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40299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0299A"/>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unhideWhenUsed/>
    <w:rsid w:val="00D56F11"/>
    <w:pPr>
      <w:tabs>
        <w:tab w:val="left" w:pos="880"/>
        <w:tab w:val="right" w:leader="dot" w:pos="9016"/>
      </w:tabs>
      <w:spacing w:after="0"/>
      <w:ind w:left="220"/>
    </w:pPr>
  </w:style>
  <w:style w:type="character" w:styleId="CommentReference">
    <w:name w:val="annotation reference"/>
    <w:basedOn w:val="DefaultParagraphFont"/>
    <w:uiPriority w:val="99"/>
    <w:semiHidden/>
    <w:unhideWhenUsed/>
    <w:rsid w:val="006A3B6A"/>
    <w:rPr>
      <w:sz w:val="16"/>
      <w:szCs w:val="16"/>
    </w:rPr>
  </w:style>
  <w:style w:type="paragraph" w:styleId="CommentText">
    <w:name w:val="annotation text"/>
    <w:basedOn w:val="Normal"/>
    <w:link w:val="CommentTextChar"/>
    <w:uiPriority w:val="99"/>
    <w:semiHidden/>
    <w:unhideWhenUsed/>
    <w:rsid w:val="006A3B6A"/>
    <w:pPr>
      <w:spacing w:line="240" w:lineRule="auto"/>
    </w:pPr>
    <w:rPr>
      <w:sz w:val="20"/>
      <w:szCs w:val="20"/>
    </w:rPr>
  </w:style>
  <w:style w:type="character" w:customStyle="1" w:styleId="CommentTextChar">
    <w:name w:val="Comment Text Char"/>
    <w:basedOn w:val="DefaultParagraphFont"/>
    <w:link w:val="CommentText"/>
    <w:uiPriority w:val="99"/>
    <w:semiHidden/>
    <w:rsid w:val="006A3B6A"/>
    <w:rPr>
      <w:sz w:val="20"/>
      <w:szCs w:val="20"/>
    </w:rPr>
  </w:style>
  <w:style w:type="paragraph" w:styleId="CommentSubject">
    <w:name w:val="annotation subject"/>
    <w:basedOn w:val="CommentText"/>
    <w:next w:val="CommentText"/>
    <w:link w:val="CommentSubjectChar"/>
    <w:uiPriority w:val="99"/>
    <w:semiHidden/>
    <w:unhideWhenUsed/>
    <w:rsid w:val="006A3B6A"/>
    <w:rPr>
      <w:b/>
      <w:bCs/>
    </w:rPr>
  </w:style>
  <w:style w:type="character" w:customStyle="1" w:styleId="CommentSubjectChar">
    <w:name w:val="Comment Subject Char"/>
    <w:basedOn w:val="CommentTextChar"/>
    <w:link w:val="CommentSubject"/>
    <w:uiPriority w:val="99"/>
    <w:semiHidden/>
    <w:rsid w:val="006A3B6A"/>
    <w:rPr>
      <w:b/>
      <w:bCs/>
      <w:sz w:val="20"/>
      <w:szCs w:val="20"/>
    </w:rPr>
  </w:style>
  <w:style w:type="table" w:styleId="TableGrid">
    <w:name w:val="Table Grid"/>
    <w:basedOn w:val="TableNormal"/>
    <w:uiPriority w:val="59"/>
    <w:rsid w:val="00550B3D"/>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50B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0B3D"/>
  </w:style>
  <w:style w:type="paragraph" w:styleId="Footer">
    <w:name w:val="footer"/>
    <w:basedOn w:val="Normal"/>
    <w:link w:val="FooterChar"/>
    <w:uiPriority w:val="99"/>
    <w:unhideWhenUsed/>
    <w:rsid w:val="00550B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0B3D"/>
  </w:style>
  <w:style w:type="paragraph" w:customStyle="1" w:styleId="appendix2DMF">
    <w:name w:val="appendix2DMF"/>
    <w:basedOn w:val="Normal"/>
    <w:link w:val="appendix2DMFChar"/>
    <w:qFormat/>
    <w:rsid w:val="00F34E2A"/>
    <w:pPr>
      <w:spacing w:after="0"/>
    </w:pPr>
    <w:rPr>
      <w:rFonts w:ascii="Arial" w:hAnsi="Arial" w:cs="Arial"/>
      <w:sz w:val="18"/>
      <w:lang w:val="en-SG" w:eastAsia="zh-CN"/>
    </w:rPr>
  </w:style>
  <w:style w:type="paragraph" w:customStyle="1" w:styleId="appendixbold">
    <w:name w:val="appendixbold"/>
    <w:basedOn w:val="Normal"/>
    <w:link w:val="appendixboldChar"/>
    <w:qFormat/>
    <w:rsid w:val="00F34E2A"/>
    <w:pPr>
      <w:tabs>
        <w:tab w:val="left" w:pos="113"/>
        <w:tab w:val="left" w:pos="227"/>
        <w:tab w:val="left" w:pos="340"/>
      </w:tabs>
      <w:spacing w:after="0"/>
    </w:pPr>
    <w:rPr>
      <w:rFonts w:ascii="Arial" w:eastAsia="Calibri" w:hAnsi="Arial" w:cs="Arial"/>
      <w:b/>
      <w:sz w:val="18"/>
      <w:szCs w:val="18"/>
      <w:lang w:val="en-SG" w:eastAsia="zh-CN"/>
    </w:rPr>
  </w:style>
  <w:style w:type="character" w:customStyle="1" w:styleId="appendix2DMFChar">
    <w:name w:val="appendix2DMF Char"/>
    <w:basedOn w:val="DefaultParagraphFont"/>
    <w:link w:val="appendix2DMF"/>
    <w:rsid w:val="00F34E2A"/>
    <w:rPr>
      <w:rFonts w:ascii="Arial" w:hAnsi="Arial" w:cs="Arial"/>
      <w:sz w:val="18"/>
      <w:lang w:val="en-SG" w:eastAsia="zh-CN"/>
    </w:rPr>
  </w:style>
  <w:style w:type="paragraph" w:customStyle="1" w:styleId="appendix2numbered">
    <w:name w:val="appendix2numbered"/>
    <w:basedOn w:val="Normal"/>
    <w:link w:val="appendix2numberedChar"/>
    <w:qFormat/>
    <w:rsid w:val="00F34E2A"/>
    <w:pPr>
      <w:numPr>
        <w:ilvl w:val="1"/>
        <w:numId w:val="4"/>
      </w:numPr>
      <w:spacing w:after="0"/>
    </w:pPr>
    <w:rPr>
      <w:rFonts w:ascii="Arial" w:eastAsia="MS Mincho" w:hAnsi="Arial" w:cs="Arial"/>
      <w:sz w:val="18"/>
      <w:szCs w:val="18"/>
      <w:lang w:val="en-SG" w:eastAsia="ja-JP"/>
    </w:rPr>
  </w:style>
  <w:style w:type="character" w:customStyle="1" w:styleId="appendixboldChar">
    <w:name w:val="appendixbold Char"/>
    <w:basedOn w:val="DefaultParagraphFont"/>
    <w:link w:val="appendixbold"/>
    <w:rsid w:val="00F34E2A"/>
    <w:rPr>
      <w:rFonts w:ascii="Arial" w:eastAsia="Calibri" w:hAnsi="Arial" w:cs="Arial"/>
      <w:b/>
      <w:sz w:val="18"/>
      <w:szCs w:val="18"/>
      <w:lang w:val="en-SG" w:eastAsia="zh-CN"/>
    </w:rPr>
  </w:style>
  <w:style w:type="character" w:customStyle="1" w:styleId="appendix2numberedChar">
    <w:name w:val="appendix2numbered Char"/>
    <w:basedOn w:val="DefaultParagraphFont"/>
    <w:link w:val="appendix2numbered"/>
    <w:rsid w:val="00F34E2A"/>
    <w:rPr>
      <w:rFonts w:ascii="Arial" w:eastAsia="MS Mincho" w:hAnsi="Arial" w:cs="Arial"/>
      <w:sz w:val="18"/>
      <w:szCs w:val="18"/>
      <w:lang w:val="en-SG" w:eastAsia="ja-JP"/>
    </w:rPr>
  </w:style>
  <w:style w:type="paragraph" w:customStyle="1" w:styleId="bullet">
    <w:name w:val="bullet"/>
    <w:basedOn w:val="ListParagraph"/>
    <w:link w:val="bulletChar"/>
    <w:qFormat/>
    <w:rsid w:val="00F34E2A"/>
    <w:pPr>
      <w:numPr>
        <w:numId w:val="5"/>
      </w:numPr>
      <w:tabs>
        <w:tab w:val="left" w:pos="720"/>
      </w:tabs>
      <w:spacing w:after="0" w:line="240" w:lineRule="auto"/>
      <w:contextualSpacing w:val="0"/>
    </w:pPr>
    <w:rPr>
      <w:rFonts w:ascii="Arial" w:eastAsia="MS Mincho" w:hAnsi="Arial" w:cs="Arial"/>
      <w:bCs/>
      <w:color w:val="000000"/>
      <w:sz w:val="18"/>
      <w:szCs w:val="18"/>
      <w:lang w:val="en-US" w:eastAsia="zh-CN"/>
    </w:rPr>
  </w:style>
  <w:style w:type="character" w:customStyle="1" w:styleId="bulletChar">
    <w:name w:val="bullet Char"/>
    <w:basedOn w:val="DefaultParagraphFont"/>
    <w:link w:val="bullet"/>
    <w:rsid w:val="00F34E2A"/>
    <w:rPr>
      <w:rFonts w:ascii="Arial" w:eastAsia="MS Mincho" w:hAnsi="Arial" w:cs="Arial"/>
      <w:bCs/>
      <w:color w:val="000000"/>
      <w:sz w:val="18"/>
      <w:szCs w:val="18"/>
      <w:lang w:val="en-US" w:eastAsia="zh-CN"/>
    </w:rPr>
  </w:style>
  <w:style w:type="character" w:customStyle="1" w:styleId="UnresolvedMention2">
    <w:name w:val="Unresolved Mention2"/>
    <w:basedOn w:val="DefaultParagraphFont"/>
    <w:uiPriority w:val="99"/>
    <w:semiHidden/>
    <w:unhideWhenUsed/>
    <w:rsid w:val="00FE0F6C"/>
    <w:rPr>
      <w:color w:val="605E5C"/>
      <w:shd w:val="clear" w:color="auto" w:fill="E1DFDD"/>
    </w:rPr>
  </w:style>
  <w:style w:type="paragraph" w:styleId="Revision">
    <w:name w:val="Revision"/>
    <w:hidden/>
    <w:uiPriority w:val="99"/>
    <w:semiHidden/>
    <w:rsid w:val="00C22026"/>
    <w:pPr>
      <w:spacing w:after="0" w:line="240" w:lineRule="auto"/>
    </w:pPr>
  </w:style>
  <w:style w:type="paragraph" w:customStyle="1" w:styleId="Default">
    <w:name w:val="Default"/>
    <w:rsid w:val="009B39BD"/>
    <w:pPr>
      <w:autoSpaceDE w:val="0"/>
      <w:autoSpaceDN w:val="0"/>
      <w:adjustRightInd w:val="0"/>
      <w:spacing w:after="0" w:line="240" w:lineRule="auto"/>
    </w:pPr>
    <w:rPr>
      <w:rFonts w:ascii="Calibri" w:hAnsi="Calibri" w:cs="Calibri"/>
      <w:color w:val="000000"/>
      <w:sz w:val="24"/>
      <w:szCs w:val="24"/>
    </w:rPr>
  </w:style>
  <w:style w:type="paragraph" w:styleId="Caption">
    <w:name w:val="caption"/>
    <w:aliases w:val="caption for tables,figures,Caption-Table"/>
    <w:basedOn w:val="Normal"/>
    <w:next w:val="Normal"/>
    <w:link w:val="CaptionChar"/>
    <w:uiPriority w:val="35"/>
    <w:qFormat/>
    <w:rsid w:val="00E80D5F"/>
    <w:pPr>
      <w:spacing w:after="0" w:line="240" w:lineRule="auto"/>
    </w:pPr>
    <w:rPr>
      <w:rFonts w:ascii="Arial" w:eastAsia="Times New Roman" w:hAnsi="Arial" w:cs="Arial"/>
      <w:b/>
      <w:bCs/>
      <w:sz w:val="20"/>
      <w:szCs w:val="24"/>
      <w:lang w:val="en-US"/>
    </w:rPr>
  </w:style>
  <w:style w:type="character" w:customStyle="1" w:styleId="CaptionChar">
    <w:name w:val="Caption Char"/>
    <w:aliases w:val="caption for tables Char,figures Char,Caption-Table Char"/>
    <w:basedOn w:val="DefaultParagraphFont"/>
    <w:link w:val="Caption"/>
    <w:uiPriority w:val="35"/>
    <w:rsid w:val="00E80D5F"/>
    <w:rPr>
      <w:rFonts w:ascii="Arial" w:eastAsia="Times New Roman" w:hAnsi="Arial" w:cs="Arial"/>
      <w:b/>
      <w:bCs/>
      <w:sz w:val="20"/>
      <w:szCs w:val="24"/>
      <w:lang w:val="en-US"/>
    </w:rPr>
  </w:style>
  <w:style w:type="paragraph" w:customStyle="1" w:styleId="ftrefChar">
    <w:name w:val="ftref Char"/>
    <w:aliases w:val="16 Point Char,Superscript 6 Point Char,ftref Char Char Char Char,16 Point Char Char Char Char,Superscript 6 Point Char Char Char Char,BVI fnr Char Char Char Char,BVI fnr Car Car Char Char Char Char"/>
    <w:basedOn w:val="Normal"/>
    <w:link w:val="FootnoteReference"/>
    <w:uiPriority w:val="99"/>
    <w:rsid w:val="00E80D5F"/>
    <w:pPr>
      <w:spacing w:after="80" w:line="240" w:lineRule="exact"/>
    </w:pPr>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51367">
      <w:bodyDiv w:val="1"/>
      <w:marLeft w:val="0"/>
      <w:marRight w:val="0"/>
      <w:marTop w:val="0"/>
      <w:marBottom w:val="0"/>
      <w:divBdr>
        <w:top w:val="none" w:sz="0" w:space="0" w:color="auto"/>
        <w:left w:val="none" w:sz="0" w:space="0" w:color="auto"/>
        <w:bottom w:val="none" w:sz="0" w:space="0" w:color="auto"/>
        <w:right w:val="none" w:sz="0" w:space="0" w:color="auto"/>
      </w:divBdr>
    </w:div>
    <w:div w:id="35206064">
      <w:bodyDiv w:val="1"/>
      <w:marLeft w:val="0"/>
      <w:marRight w:val="0"/>
      <w:marTop w:val="0"/>
      <w:marBottom w:val="0"/>
      <w:divBdr>
        <w:top w:val="none" w:sz="0" w:space="0" w:color="auto"/>
        <w:left w:val="none" w:sz="0" w:space="0" w:color="auto"/>
        <w:bottom w:val="none" w:sz="0" w:space="0" w:color="auto"/>
        <w:right w:val="none" w:sz="0" w:space="0" w:color="auto"/>
      </w:divBdr>
    </w:div>
    <w:div w:id="45448443">
      <w:bodyDiv w:val="1"/>
      <w:marLeft w:val="0"/>
      <w:marRight w:val="0"/>
      <w:marTop w:val="0"/>
      <w:marBottom w:val="0"/>
      <w:divBdr>
        <w:top w:val="none" w:sz="0" w:space="0" w:color="auto"/>
        <w:left w:val="none" w:sz="0" w:space="0" w:color="auto"/>
        <w:bottom w:val="none" w:sz="0" w:space="0" w:color="auto"/>
        <w:right w:val="none" w:sz="0" w:space="0" w:color="auto"/>
      </w:divBdr>
    </w:div>
    <w:div w:id="77136822">
      <w:bodyDiv w:val="1"/>
      <w:marLeft w:val="0"/>
      <w:marRight w:val="0"/>
      <w:marTop w:val="0"/>
      <w:marBottom w:val="0"/>
      <w:divBdr>
        <w:top w:val="none" w:sz="0" w:space="0" w:color="auto"/>
        <w:left w:val="none" w:sz="0" w:space="0" w:color="auto"/>
        <w:bottom w:val="none" w:sz="0" w:space="0" w:color="auto"/>
        <w:right w:val="none" w:sz="0" w:space="0" w:color="auto"/>
      </w:divBdr>
    </w:div>
    <w:div w:id="92019722">
      <w:bodyDiv w:val="1"/>
      <w:marLeft w:val="0"/>
      <w:marRight w:val="0"/>
      <w:marTop w:val="0"/>
      <w:marBottom w:val="0"/>
      <w:divBdr>
        <w:top w:val="none" w:sz="0" w:space="0" w:color="auto"/>
        <w:left w:val="none" w:sz="0" w:space="0" w:color="auto"/>
        <w:bottom w:val="none" w:sz="0" w:space="0" w:color="auto"/>
        <w:right w:val="none" w:sz="0" w:space="0" w:color="auto"/>
      </w:divBdr>
    </w:div>
    <w:div w:id="112135722">
      <w:bodyDiv w:val="1"/>
      <w:marLeft w:val="0"/>
      <w:marRight w:val="0"/>
      <w:marTop w:val="0"/>
      <w:marBottom w:val="0"/>
      <w:divBdr>
        <w:top w:val="none" w:sz="0" w:space="0" w:color="auto"/>
        <w:left w:val="none" w:sz="0" w:space="0" w:color="auto"/>
        <w:bottom w:val="none" w:sz="0" w:space="0" w:color="auto"/>
        <w:right w:val="none" w:sz="0" w:space="0" w:color="auto"/>
      </w:divBdr>
    </w:div>
    <w:div w:id="144207733">
      <w:bodyDiv w:val="1"/>
      <w:marLeft w:val="0"/>
      <w:marRight w:val="0"/>
      <w:marTop w:val="0"/>
      <w:marBottom w:val="0"/>
      <w:divBdr>
        <w:top w:val="none" w:sz="0" w:space="0" w:color="auto"/>
        <w:left w:val="none" w:sz="0" w:space="0" w:color="auto"/>
        <w:bottom w:val="none" w:sz="0" w:space="0" w:color="auto"/>
        <w:right w:val="none" w:sz="0" w:space="0" w:color="auto"/>
      </w:divBdr>
    </w:div>
    <w:div w:id="157574203">
      <w:bodyDiv w:val="1"/>
      <w:marLeft w:val="0"/>
      <w:marRight w:val="0"/>
      <w:marTop w:val="0"/>
      <w:marBottom w:val="0"/>
      <w:divBdr>
        <w:top w:val="none" w:sz="0" w:space="0" w:color="auto"/>
        <w:left w:val="none" w:sz="0" w:space="0" w:color="auto"/>
        <w:bottom w:val="none" w:sz="0" w:space="0" w:color="auto"/>
        <w:right w:val="none" w:sz="0" w:space="0" w:color="auto"/>
      </w:divBdr>
    </w:div>
    <w:div w:id="164052928">
      <w:bodyDiv w:val="1"/>
      <w:marLeft w:val="0"/>
      <w:marRight w:val="0"/>
      <w:marTop w:val="0"/>
      <w:marBottom w:val="0"/>
      <w:divBdr>
        <w:top w:val="none" w:sz="0" w:space="0" w:color="auto"/>
        <w:left w:val="none" w:sz="0" w:space="0" w:color="auto"/>
        <w:bottom w:val="none" w:sz="0" w:space="0" w:color="auto"/>
        <w:right w:val="none" w:sz="0" w:space="0" w:color="auto"/>
      </w:divBdr>
    </w:div>
    <w:div w:id="214319278">
      <w:bodyDiv w:val="1"/>
      <w:marLeft w:val="0"/>
      <w:marRight w:val="0"/>
      <w:marTop w:val="0"/>
      <w:marBottom w:val="0"/>
      <w:divBdr>
        <w:top w:val="none" w:sz="0" w:space="0" w:color="auto"/>
        <w:left w:val="none" w:sz="0" w:space="0" w:color="auto"/>
        <w:bottom w:val="none" w:sz="0" w:space="0" w:color="auto"/>
        <w:right w:val="none" w:sz="0" w:space="0" w:color="auto"/>
      </w:divBdr>
    </w:div>
    <w:div w:id="249436167">
      <w:bodyDiv w:val="1"/>
      <w:marLeft w:val="0"/>
      <w:marRight w:val="0"/>
      <w:marTop w:val="0"/>
      <w:marBottom w:val="0"/>
      <w:divBdr>
        <w:top w:val="none" w:sz="0" w:space="0" w:color="auto"/>
        <w:left w:val="none" w:sz="0" w:space="0" w:color="auto"/>
        <w:bottom w:val="none" w:sz="0" w:space="0" w:color="auto"/>
        <w:right w:val="none" w:sz="0" w:space="0" w:color="auto"/>
      </w:divBdr>
    </w:div>
    <w:div w:id="249971840">
      <w:bodyDiv w:val="1"/>
      <w:marLeft w:val="0"/>
      <w:marRight w:val="0"/>
      <w:marTop w:val="0"/>
      <w:marBottom w:val="0"/>
      <w:divBdr>
        <w:top w:val="none" w:sz="0" w:space="0" w:color="auto"/>
        <w:left w:val="none" w:sz="0" w:space="0" w:color="auto"/>
        <w:bottom w:val="none" w:sz="0" w:space="0" w:color="auto"/>
        <w:right w:val="none" w:sz="0" w:space="0" w:color="auto"/>
      </w:divBdr>
    </w:div>
    <w:div w:id="267467647">
      <w:bodyDiv w:val="1"/>
      <w:marLeft w:val="0"/>
      <w:marRight w:val="0"/>
      <w:marTop w:val="0"/>
      <w:marBottom w:val="0"/>
      <w:divBdr>
        <w:top w:val="none" w:sz="0" w:space="0" w:color="auto"/>
        <w:left w:val="none" w:sz="0" w:space="0" w:color="auto"/>
        <w:bottom w:val="none" w:sz="0" w:space="0" w:color="auto"/>
        <w:right w:val="none" w:sz="0" w:space="0" w:color="auto"/>
      </w:divBdr>
    </w:div>
    <w:div w:id="299380262">
      <w:bodyDiv w:val="1"/>
      <w:marLeft w:val="0"/>
      <w:marRight w:val="0"/>
      <w:marTop w:val="0"/>
      <w:marBottom w:val="0"/>
      <w:divBdr>
        <w:top w:val="none" w:sz="0" w:space="0" w:color="auto"/>
        <w:left w:val="none" w:sz="0" w:space="0" w:color="auto"/>
        <w:bottom w:val="none" w:sz="0" w:space="0" w:color="auto"/>
        <w:right w:val="none" w:sz="0" w:space="0" w:color="auto"/>
      </w:divBdr>
    </w:div>
    <w:div w:id="336155594">
      <w:bodyDiv w:val="1"/>
      <w:marLeft w:val="0"/>
      <w:marRight w:val="0"/>
      <w:marTop w:val="0"/>
      <w:marBottom w:val="0"/>
      <w:divBdr>
        <w:top w:val="none" w:sz="0" w:space="0" w:color="auto"/>
        <w:left w:val="none" w:sz="0" w:space="0" w:color="auto"/>
        <w:bottom w:val="none" w:sz="0" w:space="0" w:color="auto"/>
        <w:right w:val="none" w:sz="0" w:space="0" w:color="auto"/>
      </w:divBdr>
    </w:div>
    <w:div w:id="336882415">
      <w:bodyDiv w:val="1"/>
      <w:marLeft w:val="0"/>
      <w:marRight w:val="0"/>
      <w:marTop w:val="0"/>
      <w:marBottom w:val="0"/>
      <w:divBdr>
        <w:top w:val="none" w:sz="0" w:space="0" w:color="auto"/>
        <w:left w:val="none" w:sz="0" w:space="0" w:color="auto"/>
        <w:bottom w:val="none" w:sz="0" w:space="0" w:color="auto"/>
        <w:right w:val="none" w:sz="0" w:space="0" w:color="auto"/>
      </w:divBdr>
    </w:div>
    <w:div w:id="366489203">
      <w:bodyDiv w:val="1"/>
      <w:marLeft w:val="0"/>
      <w:marRight w:val="0"/>
      <w:marTop w:val="0"/>
      <w:marBottom w:val="0"/>
      <w:divBdr>
        <w:top w:val="none" w:sz="0" w:space="0" w:color="auto"/>
        <w:left w:val="none" w:sz="0" w:space="0" w:color="auto"/>
        <w:bottom w:val="none" w:sz="0" w:space="0" w:color="auto"/>
        <w:right w:val="none" w:sz="0" w:space="0" w:color="auto"/>
      </w:divBdr>
    </w:div>
    <w:div w:id="390156683">
      <w:bodyDiv w:val="1"/>
      <w:marLeft w:val="0"/>
      <w:marRight w:val="0"/>
      <w:marTop w:val="0"/>
      <w:marBottom w:val="0"/>
      <w:divBdr>
        <w:top w:val="none" w:sz="0" w:space="0" w:color="auto"/>
        <w:left w:val="none" w:sz="0" w:space="0" w:color="auto"/>
        <w:bottom w:val="none" w:sz="0" w:space="0" w:color="auto"/>
        <w:right w:val="none" w:sz="0" w:space="0" w:color="auto"/>
      </w:divBdr>
    </w:div>
    <w:div w:id="393238061">
      <w:bodyDiv w:val="1"/>
      <w:marLeft w:val="0"/>
      <w:marRight w:val="0"/>
      <w:marTop w:val="0"/>
      <w:marBottom w:val="0"/>
      <w:divBdr>
        <w:top w:val="none" w:sz="0" w:space="0" w:color="auto"/>
        <w:left w:val="none" w:sz="0" w:space="0" w:color="auto"/>
        <w:bottom w:val="none" w:sz="0" w:space="0" w:color="auto"/>
        <w:right w:val="none" w:sz="0" w:space="0" w:color="auto"/>
      </w:divBdr>
    </w:div>
    <w:div w:id="399135024">
      <w:bodyDiv w:val="1"/>
      <w:marLeft w:val="0"/>
      <w:marRight w:val="0"/>
      <w:marTop w:val="0"/>
      <w:marBottom w:val="0"/>
      <w:divBdr>
        <w:top w:val="none" w:sz="0" w:space="0" w:color="auto"/>
        <w:left w:val="none" w:sz="0" w:space="0" w:color="auto"/>
        <w:bottom w:val="none" w:sz="0" w:space="0" w:color="auto"/>
        <w:right w:val="none" w:sz="0" w:space="0" w:color="auto"/>
      </w:divBdr>
    </w:div>
    <w:div w:id="404497207">
      <w:bodyDiv w:val="1"/>
      <w:marLeft w:val="0"/>
      <w:marRight w:val="0"/>
      <w:marTop w:val="0"/>
      <w:marBottom w:val="0"/>
      <w:divBdr>
        <w:top w:val="none" w:sz="0" w:space="0" w:color="auto"/>
        <w:left w:val="none" w:sz="0" w:space="0" w:color="auto"/>
        <w:bottom w:val="none" w:sz="0" w:space="0" w:color="auto"/>
        <w:right w:val="none" w:sz="0" w:space="0" w:color="auto"/>
      </w:divBdr>
    </w:div>
    <w:div w:id="409929716">
      <w:bodyDiv w:val="1"/>
      <w:marLeft w:val="0"/>
      <w:marRight w:val="0"/>
      <w:marTop w:val="0"/>
      <w:marBottom w:val="0"/>
      <w:divBdr>
        <w:top w:val="none" w:sz="0" w:space="0" w:color="auto"/>
        <w:left w:val="none" w:sz="0" w:space="0" w:color="auto"/>
        <w:bottom w:val="none" w:sz="0" w:space="0" w:color="auto"/>
        <w:right w:val="none" w:sz="0" w:space="0" w:color="auto"/>
      </w:divBdr>
    </w:div>
    <w:div w:id="421730977">
      <w:bodyDiv w:val="1"/>
      <w:marLeft w:val="0"/>
      <w:marRight w:val="0"/>
      <w:marTop w:val="0"/>
      <w:marBottom w:val="0"/>
      <w:divBdr>
        <w:top w:val="none" w:sz="0" w:space="0" w:color="auto"/>
        <w:left w:val="none" w:sz="0" w:space="0" w:color="auto"/>
        <w:bottom w:val="none" w:sz="0" w:space="0" w:color="auto"/>
        <w:right w:val="none" w:sz="0" w:space="0" w:color="auto"/>
      </w:divBdr>
    </w:div>
    <w:div w:id="477648528">
      <w:bodyDiv w:val="1"/>
      <w:marLeft w:val="0"/>
      <w:marRight w:val="0"/>
      <w:marTop w:val="0"/>
      <w:marBottom w:val="0"/>
      <w:divBdr>
        <w:top w:val="none" w:sz="0" w:space="0" w:color="auto"/>
        <w:left w:val="none" w:sz="0" w:space="0" w:color="auto"/>
        <w:bottom w:val="none" w:sz="0" w:space="0" w:color="auto"/>
        <w:right w:val="none" w:sz="0" w:space="0" w:color="auto"/>
      </w:divBdr>
    </w:div>
    <w:div w:id="497841064">
      <w:bodyDiv w:val="1"/>
      <w:marLeft w:val="0"/>
      <w:marRight w:val="0"/>
      <w:marTop w:val="0"/>
      <w:marBottom w:val="0"/>
      <w:divBdr>
        <w:top w:val="none" w:sz="0" w:space="0" w:color="auto"/>
        <w:left w:val="none" w:sz="0" w:space="0" w:color="auto"/>
        <w:bottom w:val="none" w:sz="0" w:space="0" w:color="auto"/>
        <w:right w:val="none" w:sz="0" w:space="0" w:color="auto"/>
      </w:divBdr>
    </w:div>
    <w:div w:id="511069629">
      <w:bodyDiv w:val="1"/>
      <w:marLeft w:val="0"/>
      <w:marRight w:val="0"/>
      <w:marTop w:val="0"/>
      <w:marBottom w:val="0"/>
      <w:divBdr>
        <w:top w:val="none" w:sz="0" w:space="0" w:color="auto"/>
        <w:left w:val="none" w:sz="0" w:space="0" w:color="auto"/>
        <w:bottom w:val="none" w:sz="0" w:space="0" w:color="auto"/>
        <w:right w:val="none" w:sz="0" w:space="0" w:color="auto"/>
      </w:divBdr>
    </w:div>
    <w:div w:id="530144389">
      <w:bodyDiv w:val="1"/>
      <w:marLeft w:val="0"/>
      <w:marRight w:val="0"/>
      <w:marTop w:val="0"/>
      <w:marBottom w:val="0"/>
      <w:divBdr>
        <w:top w:val="none" w:sz="0" w:space="0" w:color="auto"/>
        <w:left w:val="none" w:sz="0" w:space="0" w:color="auto"/>
        <w:bottom w:val="none" w:sz="0" w:space="0" w:color="auto"/>
        <w:right w:val="none" w:sz="0" w:space="0" w:color="auto"/>
      </w:divBdr>
    </w:div>
    <w:div w:id="567231253">
      <w:bodyDiv w:val="1"/>
      <w:marLeft w:val="0"/>
      <w:marRight w:val="0"/>
      <w:marTop w:val="0"/>
      <w:marBottom w:val="0"/>
      <w:divBdr>
        <w:top w:val="none" w:sz="0" w:space="0" w:color="auto"/>
        <w:left w:val="none" w:sz="0" w:space="0" w:color="auto"/>
        <w:bottom w:val="none" w:sz="0" w:space="0" w:color="auto"/>
        <w:right w:val="none" w:sz="0" w:space="0" w:color="auto"/>
      </w:divBdr>
    </w:div>
    <w:div w:id="573472610">
      <w:bodyDiv w:val="1"/>
      <w:marLeft w:val="0"/>
      <w:marRight w:val="0"/>
      <w:marTop w:val="0"/>
      <w:marBottom w:val="0"/>
      <w:divBdr>
        <w:top w:val="none" w:sz="0" w:space="0" w:color="auto"/>
        <w:left w:val="none" w:sz="0" w:space="0" w:color="auto"/>
        <w:bottom w:val="none" w:sz="0" w:space="0" w:color="auto"/>
        <w:right w:val="none" w:sz="0" w:space="0" w:color="auto"/>
      </w:divBdr>
    </w:div>
    <w:div w:id="598216311">
      <w:bodyDiv w:val="1"/>
      <w:marLeft w:val="0"/>
      <w:marRight w:val="0"/>
      <w:marTop w:val="0"/>
      <w:marBottom w:val="0"/>
      <w:divBdr>
        <w:top w:val="none" w:sz="0" w:space="0" w:color="auto"/>
        <w:left w:val="none" w:sz="0" w:space="0" w:color="auto"/>
        <w:bottom w:val="none" w:sz="0" w:space="0" w:color="auto"/>
        <w:right w:val="none" w:sz="0" w:space="0" w:color="auto"/>
      </w:divBdr>
    </w:div>
    <w:div w:id="698705842">
      <w:bodyDiv w:val="1"/>
      <w:marLeft w:val="0"/>
      <w:marRight w:val="0"/>
      <w:marTop w:val="0"/>
      <w:marBottom w:val="0"/>
      <w:divBdr>
        <w:top w:val="none" w:sz="0" w:space="0" w:color="auto"/>
        <w:left w:val="none" w:sz="0" w:space="0" w:color="auto"/>
        <w:bottom w:val="none" w:sz="0" w:space="0" w:color="auto"/>
        <w:right w:val="none" w:sz="0" w:space="0" w:color="auto"/>
      </w:divBdr>
    </w:div>
    <w:div w:id="705302159">
      <w:bodyDiv w:val="1"/>
      <w:marLeft w:val="0"/>
      <w:marRight w:val="0"/>
      <w:marTop w:val="0"/>
      <w:marBottom w:val="0"/>
      <w:divBdr>
        <w:top w:val="none" w:sz="0" w:space="0" w:color="auto"/>
        <w:left w:val="none" w:sz="0" w:space="0" w:color="auto"/>
        <w:bottom w:val="none" w:sz="0" w:space="0" w:color="auto"/>
        <w:right w:val="none" w:sz="0" w:space="0" w:color="auto"/>
      </w:divBdr>
    </w:div>
    <w:div w:id="733434437">
      <w:bodyDiv w:val="1"/>
      <w:marLeft w:val="0"/>
      <w:marRight w:val="0"/>
      <w:marTop w:val="0"/>
      <w:marBottom w:val="0"/>
      <w:divBdr>
        <w:top w:val="none" w:sz="0" w:space="0" w:color="auto"/>
        <w:left w:val="none" w:sz="0" w:space="0" w:color="auto"/>
        <w:bottom w:val="none" w:sz="0" w:space="0" w:color="auto"/>
        <w:right w:val="none" w:sz="0" w:space="0" w:color="auto"/>
      </w:divBdr>
      <w:divsChild>
        <w:div w:id="217130704">
          <w:marLeft w:val="274"/>
          <w:marRight w:val="0"/>
          <w:marTop w:val="45"/>
          <w:marBottom w:val="0"/>
          <w:divBdr>
            <w:top w:val="none" w:sz="0" w:space="0" w:color="auto"/>
            <w:left w:val="none" w:sz="0" w:space="0" w:color="auto"/>
            <w:bottom w:val="none" w:sz="0" w:space="0" w:color="auto"/>
            <w:right w:val="none" w:sz="0" w:space="0" w:color="auto"/>
          </w:divBdr>
        </w:div>
        <w:div w:id="797379353">
          <w:marLeft w:val="274"/>
          <w:marRight w:val="0"/>
          <w:marTop w:val="45"/>
          <w:marBottom w:val="0"/>
          <w:divBdr>
            <w:top w:val="none" w:sz="0" w:space="0" w:color="auto"/>
            <w:left w:val="none" w:sz="0" w:space="0" w:color="auto"/>
            <w:bottom w:val="none" w:sz="0" w:space="0" w:color="auto"/>
            <w:right w:val="none" w:sz="0" w:space="0" w:color="auto"/>
          </w:divBdr>
        </w:div>
        <w:div w:id="1026059537">
          <w:marLeft w:val="274"/>
          <w:marRight w:val="0"/>
          <w:marTop w:val="45"/>
          <w:marBottom w:val="0"/>
          <w:divBdr>
            <w:top w:val="none" w:sz="0" w:space="0" w:color="auto"/>
            <w:left w:val="none" w:sz="0" w:space="0" w:color="auto"/>
            <w:bottom w:val="none" w:sz="0" w:space="0" w:color="auto"/>
            <w:right w:val="none" w:sz="0" w:space="0" w:color="auto"/>
          </w:divBdr>
        </w:div>
        <w:div w:id="1341271599">
          <w:marLeft w:val="274"/>
          <w:marRight w:val="0"/>
          <w:marTop w:val="45"/>
          <w:marBottom w:val="0"/>
          <w:divBdr>
            <w:top w:val="none" w:sz="0" w:space="0" w:color="auto"/>
            <w:left w:val="none" w:sz="0" w:space="0" w:color="auto"/>
            <w:bottom w:val="none" w:sz="0" w:space="0" w:color="auto"/>
            <w:right w:val="none" w:sz="0" w:space="0" w:color="auto"/>
          </w:divBdr>
        </w:div>
        <w:div w:id="1827431429">
          <w:marLeft w:val="274"/>
          <w:marRight w:val="0"/>
          <w:marTop w:val="45"/>
          <w:marBottom w:val="0"/>
          <w:divBdr>
            <w:top w:val="none" w:sz="0" w:space="0" w:color="auto"/>
            <w:left w:val="none" w:sz="0" w:space="0" w:color="auto"/>
            <w:bottom w:val="none" w:sz="0" w:space="0" w:color="auto"/>
            <w:right w:val="none" w:sz="0" w:space="0" w:color="auto"/>
          </w:divBdr>
        </w:div>
        <w:div w:id="2119326360">
          <w:marLeft w:val="274"/>
          <w:marRight w:val="0"/>
          <w:marTop w:val="45"/>
          <w:marBottom w:val="0"/>
          <w:divBdr>
            <w:top w:val="none" w:sz="0" w:space="0" w:color="auto"/>
            <w:left w:val="none" w:sz="0" w:space="0" w:color="auto"/>
            <w:bottom w:val="none" w:sz="0" w:space="0" w:color="auto"/>
            <w:right w:val="none" w:sz="0" w:space="0" w:color="auto"/>
          </w:divBdr>
        </w:div>
      </w:divsChild>
    </w:div>
    <w:div w:id="763695905">
      <w:bodyDiv w:val="1"/>
      <w:marLeft w:val="0"/>
      <w:marRight w:val="0"/>
      <w:marTop w:val="0"/>
      <w:marBottom w:val="0"/>
      <w:divBdr>
        <w:top w:val="none" w:sz="0" w:space="0" w:color="auto"/>
        <w:left w:val="none" w:sz="0" w:space="0" w:color="auto"/>
        <w:bottom w:val="none" w:sz="0" w:space="0" w:color="auto"/>
        <w:right w:val="none" w:sz="0" w:space="0" w:color="auto"/>
      </w:divBdr>
      <w:divsChild>
        <w:div w:id="132259259">
          <w:marLeft w:val="806"/>
          <w:marRight w:val="0"/>
          <w:marTop w:val="45"/>
          <w:marBottom w:val="0"/>
          <w:divBdr>
            <w:top w:val="none" w:sz="0" w:space="0" w:color="auto"/>
            <w:left w:val="none" w:sz="0" w:space="0" w:color="auto"/>
            <w:bottom w:val="none" w:sz="0" w:space="0" w:color="auto"/>
            <w:right w:val="none" w:sz="0" w:space="0" w:color="auto"/>
          </w:divBdr>
        </w:div>
        <w:div w:id="251473544">
          <w:marLeft w:val="806"/>
          <w:marRight w:val="0"/>
          <w:marTop w:val="45"/>
          <w:marBottom w:val="0"/>
          <w:divBdr>
            <w:top w:val="none" w:sz="0" w:space="0" w:color="auto"/>
            <w:left w:val="none" w:sz="0" w:space="0" w:color="auto"/>
            <w:bottom w:val="none" w:sz="0" w:space="0" w:color="auto"/>
            <w:right w:val="none" w:sz="0" w:space="0" w:color="auto"/>
          </w:divBdr>
        </w:div>
        <w:div w:id="874197530">
          <w:marLeft w:val="806"/>
          <w:marRight w:val="0"/>
          <w:marTop w:val="45"/>
          <w:marBottom w:val="0"/>
          <w:divBdr>
            <w:top w:val="none" w:sz="0" w:space="0" w:color="auto"/>
            <w:left w:val="none" w:sz="0" w:space="0" w:color="auto"/>
            <w:bottom w:val="none" w:sz="0" w:space="0" w:color="auto"/>
            <w:right w:val="none" w:sz="0" w:space="0" w:color="auto"/>
          </w:divBdr>
        </w:div>
        <w:div w:id="899705383">
          <w:marLeft w:val="806"/>
          <w:marRight w:val="0"/>
          <w:marTop w:val="45"/>
          <w:marBottom w:val="0"/>
          <w:divBdr>
            <w:top w:val="none" w:sz="0" w:space="0" w:color="auto"/>
            <w:left w:val="none" w:sz="0" w:space="0" w:color="auto"/>
            <w:bottom w:val="none" w:sz="0" w:space="0" w:color="auto"/>
            <w:right w:val="none" w:sz="0" w:space="0" w:color="auto"/>
          </w:divBdr>
        </w:div>
        <w:div w:id="995110762">
          <w:marLeft w:val="274"/>
          <w:marRight w:val="0"/>
          <w:marTop w:val="45"/>
          <w:marBottom w:val="0"/>
          <w:divBdr>
            <w:top w:val="none" w:sz="0" w:space="0" w:color="auto"/>
            <w:left w:val="none" w:sz="0" w:space="0" w:color="auto"/>
            <w:bottom w:val="none" w:sz="0" w:space="0" w:color="auto"/>
            <w:right w:val="none" w:sz="0" w:space="0" w:color="auto"/>
          </w:divBdr>
        </w:div>
        <w:div w:id="1006520413">
          <w:marLeft w:val="806"/>
          <w:marRight w:val="0"/>
          <w:marTop w:val="45"/>
          <w:marBottom w:val="0"/>
          <w:divBdr>
            <w:top w:val="none" w:sz="0" w:space="0" w:color="auto"/>
            <w:left w:val="none" w:sz="0" w:space="0" w:color="auto"/>
            <w:bottom w:val="none" w:sz="0" w:space="0" w:color="auto"/>
            <w:right w:val="none" w:sz="0" w:space="0" w:color="auto"/>
          </w:divBdr>
        </w:div>
        <w:div w:id="1026519185">
          <w:marLeft w:val="806"/>
          <w:marRight w:val="0"/>
          <w:marTop w:val="45"/>
          <w:marBottom w:val="0"/>
          <w:divBdr>
            <w:top w:val="none" w:sz="0" w:space="0" w:color="auto"/>
            <w:left w:val="none" w:sz="0" w:space="0" w:color="auto"/>
            <w:bottom w:val="none" w:sz="0" w:space="0" w:color="auto"/>
            <w:right w:val="none" w:sz="0" w:space="0" w:color="auto"/>
          </w:divBdr>
        </w:div>
        <w:div w:id="1048334392">
          <w:marLeft w:val="806"/>
          <w:marRight w:val="0"/>
          <w:marTop w:val="45"/>
          <w:marBottom w:val="0"/>
          <w:divBdr>
            <w:top w:val="none" w:sz="0" w:space="0" w:color="auto"/>
            <w:left w:val="none" w:sz="0" w:space="0" w:color="auto"/>
            <w:bottom w:val="none" w:sz="0" w:space="0" w:color="auto"/>
            <w:right w:val="none" w:sz="0" w:space="0" w:color="auto"/>
          </w:divBdr>
        </w:div>
        <w:div w:id="1169446771">
          <w:marLeft w:val="274"/>
          <w:marRight w:val="0"/>
          <w:marTop w:val="45"/>
          <w:marBottom w:val="0"/>
          <w:divBdr>
            <w:top w:val="none" w:sz="0" w:space="0" w:color="auto"/>
            <w:left w:val="none" w:sz="0" w:space="0" w:color="auto"/>
            <w:bottom w:val="none" w:sz="0" w:space="0" w:color="auto"/>
            <w:right w:val="none" w:sz="0" w:space="0" w:color="auto"/>
          </w:divBdr>
        </w:div>
        <w:div w:id="1402411679">
          <w:marLeft w:val="274"/>
          <w:marRight w:val="0"/>
          <w:marTop w:val="45"/>
          <w:marBottom w:val="0"/>
          <w:divBdr>
            <w:top w:val="none" w:sz="0" w:space="0" w:color="auto"/>
            <w:left w:val="none" w:sz="0" w:space="0" w:color="auto"/>
            <w:bottom w:val="none" w:sz="0" w:space="0" w:color="auto"/>
            <w:right w:val="none" w:sz="0" w:space="0" w:color="auto"/>
          </w:divBdr>
        </w:div>
        <w:div w:id="1550994619">
          <w:marLeft w:val="806"/>
          <w:marRight w:val="0"/>
          <w:marTop w:val="45"/>
          <w:marBottom w:val="0"/>
          <w:divBdr>
            <w:top w:val="none" w:sz="0" w:space="0" w:color="auto"/>
            <w:left w:val="none" w:sz="0" w:space="0" w:color="auto"/>
            <w:bottom w:val="none" w:sz="0" w:space="0" w:color="auto"/>
            <w:right w:val="none" w:sz="0" w:space="0" w:color="auto"/>
          </w:divBdr>
        </w:div>
        <w:div w:id="1728646839">
          <w:marLeft w:val="806"/>
          <w:marRight w:val="0"/>
          <w:marTop w:val="45"/>
          <w:marBottom w:val="0"/>
          <w:divBdr>
            <w:top w:val="none" w:sz="0" w:space="0" w:color="auto"/>
            <w:left w:val="none" w:sz="0" w:space="0" w:color="auto"/>
            <w:bottom w:val="none" w:sz="0" w:space="0" w:color="auto"/>
            <w:right w:val="none" w:sz="0" w:space="0" w:color="auto"/>
          </w:divBdr>
        </w:div>
        <w:div w:id="1768311182">
          <w:marLeft w:val="806"/>
          <w:marRight w:val="0"/>
          <w:marTop w:val="45"/>
          <w:marBottom w:val="0"/>
          <w:divBdr>
            <w:top w:val="none" w:sz="0" w:space="0" w:color="auto"/>
            <w:left w:val="none" w:sz="0" w:space="0" w:color="auto"/>
            <w:bottom w:val="none" w:sz="0" w:space="0" w:color="auto"/>
            <w:right w:val="none" w:sz="0" w:space="0" w:color="auto"/>
          </w:divBdr>
        </w:div>
        <w:div w:id="1826972831">
          <w:marLeft w:val="806"/>
          <w:marRight w:val="0"/>
          <w:marTop w:val="45"/>
          <w:marBottom w:val="0"/>
          <w:divBdr>
            <w:top w:val="none" w:sz="0" w:space="0" w:color="auto"/>
            <w:left w:val="none" w:sz="0" w:space="0" w:color="auto"/>
            <w:bottom w:val="none" w:sz="0" w:space="0" w:color="auto"/>
            <w:right w:val="none" w:sz="0" w:space="0" w:color="auto"/>
          </w:divBdr>
        </w:div>
        <w:div w:id="1833183186">
          <w:marLeft w:val="806"/>
          <w:marRight w:val="0"/>
          <w:marTop w:val="45"/>
          <w:marBottom w:val="0"/>
          <w:divBdr>
            <w:top w:val="none" w:sz="0" w:space="0" w:color="auto"/>
            <w:left w:val="none" w:sz="0" w:space="0" w:color="auto"/>
            <w:bottom w:val="none" w:sz="0" w:space="0" w:color="auto"/>
            <w:right w:val="none" w:sz="0" w:space="0" w:color="auto"/>
          </w:divBdr>
        </w:div>
        <w:div w:id="1888907501">
          <w:marLeft w:val="274"/>
          <w:marRight w:val="0"/>
          <w:marTop w:val="45"/>
          <w:marBottom w:val="0"/>
          <w:divBdr>
            <w:top w:val="none" w:sz="0" w:space="0" w:color="auto"/>
            <w:left w:val="none" w:sz="0" w:space="0" w:color="auto"/>
            <w:bottom w:val="none" w:sz="0" w:space="0" w:color="auto"/>
            <w:right w:val="none" w:sz="0" w:space="0" w:color="auto"/>
          </w:divBdr>
        </w:div>
        <w:div w:id="1962224528">
          <w:marLeft w:val="274"/>
          <w:marRight w:val="0"/>
          <w:marTop w:val="45"/>
          <w:marBottom w:val="0"/>
          <w:divBdr>
            <w:top w:val="none" w:sz="0" w:space="0" w:color="auto"/>
            <w:left w:val="none" w:sz="0" w:space="0" w:color="auto"/>
            <w:bottom w:val="none" w:sz="0" w:space="0" w:color="auto"/>
            <w:right w:val="none" w:sz="0" w:space="0" w:color="auto"/>
          </w:divBdr>
        </w:div>
      </w:divsChild>
    </w:div>
    <w:div w:id="778993476">
      <w:bodyDiv w:val="1"/>
      <w:marLeft w:val="0"/>
      <w:marRight w:val="0"/>
      <w:marTop w:val="0"/>
      <w:marBottom w:val="0"/>
      <w:divBdr>
        <w:top w:val="none" w:sz="0" w:space="0" w:color="auto"/>
        <w:left w:val="none" w:sz="0" w:space="0" w:color="auto"/>
        <w:bottom w:val="none" w:sz="0" w:space="0" w:color="auto"/>
        <w:right w:val="none" w:sz="0" w:space="0" w:color="auto"/>
      </w:divBdr>
    </w:div>
    <w:div w:id="804661678">
      <w:bodyDiv w:val="1"/>
      <w:marLeft w:val="0"/>
      <w:marRight w:val="0"/>
      <w:marTop w:val="0"/>
      <w:marBottom w:val="0"/>
      <w:divBdr>
        <w:top w:val="none" w:sz="0" w:space="0" w:color="auto"/>
        <w:left w:val="none" w:sz="0" w:space="0" w:color="auto"/>
        <w:bottom w:val="none" w:sz="0" w:space="0" w:color="auto"/>
        <w:right w:val="none" w:sz="0" w:space="0" w:color="auto"/>
      </w:divBdr>
    </w:div>
    <w:div w:id="814949558">
      <w:bodyDiv w:val="1"/>
      <w:marLeft w:val="0"/>
      <w:marRight w:val="0"/>
      <w:marTop w:val="0"/>
      <w:marBottom w:val="0"/>
      <w:divBdr>
        <w:top w:val="none" w:sz="0" w:space="0" w:color="auto"/>
        <w:left w:val="none" w:sz="0" w:space="0" w:color="auto"/>
        <w:bottom w:val="none" w:sz="0" w:space="0" w:color="auto"/>
        <w:right w:val="none" w:sz="0" w:space="0" w:color="auto"/>
      </w:divBdr>
      <w:divsChild>
        <w:div w:id="73942979">
          <w:marLeft w:val="274"/>
          <w:marRight w:val="0"/>
          <w:marTop w:val="45"/>
          <w:marBottom w:val="0"/>
          <w:divBdr>
            <w:top w:val="none" w:sz="0" w:space="0" w:color="auto"/>
            <w:left w:val="none" w:sz="0" w:space="0" w:color="auto"/>
            <w:bottom w:val="none" w:sz="0" w:space="0" w:color="auto"/>
            <w:right w:val="none" w:sz="0" w:space="0" w:color="auto"/>
          </w:divBdr>
        </w:div>
        <w:div w:id="110825255">
          <w:marLeft w:val="274"/>
          <w:marRight w:val="0"/>
          <w:marTop w:val="45"/>
          <w:marBottom w:val="0"/>
          <w:divBdr>
            <w:top w:val="none" w:sz="0" w:space="0" w:color="auto"/>
            <w:left w:val="none" w:sz="0" w:space="0" w:color="auto"/>
            <w:bottom w:val="none" w:sz="0" w:space="0" w:color="auto"/>
            <w:right w:val="none" w:sz="0" w:space="0" w:color="auto"/>
          </w:divBdr>
        </w:div>
        <w:div w:id="349339224">
          <w:marLeft w:val="274"/>
          <w:marRight w:val="0"/>
          <w:marTop w:val="45"/>
          <w:marBottom w:val="0"/>
          <w:divBdr>
            <w:top w:val="none" w:sz="0" w:space="0" w:color="auto"/>
            <w:left w:val="none" w:sz="0" w:space="0" w:color="auto"/>
            <w:bottom w:val="none" w:sz="0" w:space="0" w:color="auto"/>
            <w:right w:val="none" w:sz="0" w:space="0" w:color="auto"/>
          </w:divBdr>
        </w:div>
        <w:div w:id="621690694">
          <w:marLeft w:val="274"/>
          <w:marRight w:val="0"/>
          <w:marTop w:val="45"/>
          <w:marBottom w:val="0"/>
          <w:divBdr>
            <w:top w:val="none" w:sz="0" w:space="0" w:color="auto"/>
            <w:left w:val="none" w:sz="0" w:space="0" w:color="auto"/>
            <w:bottom w:val="none" w:sz="0" w:space="0" w:color="auto"/>
            <w:right w:val="none" w:sz="0" w:space="0" w:color="auto"/>
          </w:divBdr>
        </w:div>
        <w:div w:id="1396011521">
          <w:marLeft w:val="274"/>
          <w:marRight w:val="0"/>
          <w:marTop w:val="45"/>
          <w:marBottom w:val="0"/>
          <w:divBdr>
            <w:top w:val="none" w:sz="0" w:space="0" w:color="auto"/>
            <w:left w:val="none" w:sz="0" w:space="0" w:color="auto"/>
            <w:bottom w:val="none" w:sz="0" w:space="0" w:color="auto"/>
            <w:right w:val="none" w:sz="0" w:space="0" w:color="auto"/>
          </w:divBdr>
        </w:div>
        <w:div w:id="1838810724">
          <w:marLeft w:val="274"/>
          <w:marRight w:val="0"/>
          <w:marTop w:val="45"/>
          <w:marBottom w:val="0"/>
          <w:divBdr>
            <w:top w:val="none" w:sz="0" w:space="0" w:color="auto"/>
            <w:left w:val="none" w:sz="0" w:space="0" w:color="auto"/>
            <w:bottom w:val="none" w:sz="0" w:space="0" w:color="auto"/>
            <w:right w:val="none" w:sz="0" w:space="0" w:color="auto"/>
          </w:divBdr>
        </w:div>
      </w:divsChild>
    </w:div>
    <w:div w:id="815297758">
      <w:bodyDiv w:val="1"/>
      <w:marLeft w:val="0"/>
      <w:marRight w:val="0"/>
      <w:marTop w:val="0"/>
      <w:marBottom w:val="0"/>
      <w:divBdr>
        <w:top w:val="none" w:sz="0" w:space="0" w:color="auto"/>
        <w:left w:val="none" w:sz="0" w:space="0" w:color="auto"/>
        <w:bottom w:val="none" w:sz="0" w:space="0" w:color="auto"/>
        <w:right w:val="none" w:sz="0" w:space="0" w:color="auto"/>
      </w:divBdr>
    </w:div>
    <w:div w:id="832139220">
      <w:bodyDiv w:val="1"/>
      <w:marLeft w:val="0"/>
      <w:marRight w:val="0"/>
      <w:marTop w:val="0"/>
      <w:marBottom w:val="0"/>
      <w:divBdr>
        <w:top w:val="none" w:sz="0" w:space="0" w:color="auto"/>
        <w:left w:val="none" w:sz="0" w:space="0" w:color="auto"/>
        <w:bottom w:val="none" w:sz="0" w:space="0" w:color="auto"/>
        <w:right w:val="none" w:sz="0" w:space="0" w:color="auto"/>
      </w:divBdr>
    </w:div>
    <w:div w:id="842431874">
      <w:bodyDiv w:val="1"/>
      <w:marLeft w:val="0"/>
      <w:marRight w:val="0"/>
      <w:marTop w:val="0"/>
      <w:marBottom w:val="0"/>
      <w:divBdr>
        <w:top w:val="none" w:sz="0" w:space="0" w:color="auto"/>
        <w:left w:val="none" w:sz="0" w:space="0" w:color="auto"/>
        <w:bottom w:val="none" w:sz="0" w:space="0" w:color="auto"/>
        <w:right w:val="none" w:sz="0" w:space="0" w:color="auto"/>
      </w:divBdr>
    </w:div>
    <w:div w:id="874925437">
      <w:bodyDiv w:val="1"/>
      <w:marLeft w:val="0"/>
      <w:marRight w:val="0"/>
      <w:marTop w:val="0"/>
      <w:marBottom w:val="0"/>
      <w:divBdr>
        <w:top w:val="none" w:sz="0" w:space="0" w:color="auto"/>
        <w:left w:val="none" w:sz="0" w:space="0" w:color="auto"/>
        <w:bottom w:val="none" w:sz="0" w:space="0" w:color="auto"/>
        <w:right w:val="none" w:sz="0" w:space="0" w:color="auto"/>
      </w:divBdr>
    </w:div>
    <w:div w:id="899053655">
      <w:bodyDiv w:val="1"/>
      <w:marLeft w:val="0"/>
      <w:marRight w:val="0"/>
      <w:marTop w:val="0"/>
      <w:marBottom w:val="0"/>
      <w:divBdr>
        <w:top w:val="none" w:sz="0" w:space="0" w:color="auto"/>
        <w:left w:val="none" w:sz="0" w:space="0" w:color="auto"/>
        <w:bottom w:val="none" w:sz="0" w:space="0" w:color="auto"/>
        <w:right w:val="none" w:sz="0" w:space="0" w:color="auto"/>
      </w:divBdr>
    </w:div>
    <w:div w:id="903369981">
      <w:bodyDiv w:val="1"/>
      <w:marLeft w:val="0"/>
      <w:marRight w:val="0"/>
      <w:marTop w:val="0"/>
      <w:marBottom w:val="0"/>
      <w:divBdr>
        <w:top w:val="none" w:sz="0" w:space="0" w:color="auto"/>
        <w:left w:val="none" w:sz="0" w:space="0" w:color="auto"/>
        <w:bottom w:val="none" w:sz="0" w:space="0" w:color="auto"/>
        <w:right w:val="none" w:sz="0" w:space="0" w:color="auto"/>
      </w:divBdr>
    </w:div>
    <w:div w:id="908349321">
      <w:bodyDiv w:val="1"/>
      <w:marLeft w:val="0"/>
      <w:marRight w:val="0"/>
      <w:marTop w:val="0"/>
      <w:marBottom w:val="0"/>
      <w:divBdr>
        <w:top w:val="none" w:sz="0" w:space="0" w:color="auto"/>
        <w:left w:val="none" w:sz="0" w:space="0" w:color="auto"/>
        <w:bottom w:val="none" w:sz="0" w:space="0" w:color="auto"/>
        <w:right w:val="none" w:sz="0" w:space="0" w:color="auto"/>
      </w:divBdr>
    </w:div>
    <w:div w:id="909270774">
      <w:bodyDiv w:val="1"/>
      <w:marLeft w:val="0"/>
      <w:marRight w:val="0"/>
      <w:marTop w:val="0"/>
      <w:marBottom w:val="0"/>
      <w:divBdr>
        <w:top w:val="none" w:sz="0" w:space="0" w:color="auto"/>
        <w:left w:val="none" w:sz="0" w:space="0" w:color="auto"/>
        <w:bottom w:val="none" w:sz="0" w:space="0" w:color="auto"/>
        <w:right w:val="none" w:sz="0" w:space="0" w:color="auto"/>
      </w:divBdr>
    </w:div>
    <w:div w:id="933854096">
      <w:bodyDiv w:val="1"/>
      <w:marLeft w:val="0"/>
      <w:marRight w:val="0"/>
      <w:marTop w:val="0"/>
      <w:marBottom w:val="0"/>
      <w:divBdr>
        <w:top w:val="none" w:sz="0" w:space="0" w:color="auto"/>
        <w:left w:val="none" w:sz="0" w:space="0" w:color="auto"/>
        <w:bottom w:val="none" w:sz="0" w:space="0" w:color="auto"/>
        <w:right w:val="none" w:sz="0" w:space="0" w:color="auto"/>
      </w:divBdr>
      <w:divsChild>
        <w:div w:id="13844281">
          <w:marLeft w:val="1354"/>
          <w:marRight w:val="0"/>
          <w:marTop w:val="75"/>
          <w:marBottom w:val="0"/>
          <w:divBdr>
            <w:top w:val="none" w:sz="0" w:space="0" w:color="auto"/>
            <w:left w:val="none" w:sz="0" w:space="0" w:color="auto"/>
            <w:bottom w:val="none" w:sz="0" w:space="0" w:color="auto"/>
            <w:right w:val="none" w:sz="0" w:space="0" w:color="auto"/>
          </w:divBdr>
        </w:div>
        <w:div w:id="175003718">
          <w:marLeft w:val="1354"/>
          <w:marRight w:val="0"/>
          <w:marTop w:val="75"/>
          <w:marBottom w:val="0"/>
          <w:divBdr>
            <w:top w:val="none" w:sz="0" w:space="0" w:color="auto"/>
            <w:left w:val="none" w:sz="0" w:space="0" w:color="auto"/>
            <w:bottom w:val="none" w:sz="0" w:space="0" w:color="auto"/>
            <w:right w:val="none" w:sz="0" w:space="0" w:color="auto"/>
          </w:divBdr>
        </w:div>
        <w:div w:id="537284719">
          <w:marLeft w:val="274"/>
          <w:marRight w:val="0"/>
          <w:marTop w:val="150"/>
          <w:marBottom w:val="0"/>
          <w:divBdr>
            <w:top w:val="none" w:sz="0" w:space="0" w:color="auto"/>
            <w:left w:val="none" w:sz="0" w:space="0" w:color="auto"/>
            <w:bottom w:val="none" w:sz="0" w:space="0" w:color="auto"/>
            <w:right w:val="none" w:sz="0" w:space="0" w:color="auto"/>
          </w:divBdr>
        </w:div>
        <w:div w:id="723678715">
          <w:marLeft w:val="1354"/>
          <w:marRight w:val="0"/>
          <w:marTop w:val="75"/>
          <w:marBottom w:val="0"/>
          <w:divBdr>
            <w:top w:val="none" w:sz="0" w:space="0" w:color="auto"/>
            <w:left w:val="none" w:sz="0" w:space="0" w:color="auto"/>
            <w:bottom w:val="none" w:sz="0" w:space="0" w:color="auto"/>
            <w:right w:val="none" w:sz="0" w:space="0" w:color="auto"/>
          </w:divBdr>
        </w:div>
        <w:div w:id="1031299757">
          <w:marLeft w:val="806"/>
          <w:marRight w:val="0"/>
          <w:marTop w:val="75"/>
          <w:marBottom w:val="0"/>
          <w:divBdr>
            <w:top w:val="none" w:sz="0" w:space="0" w:color="auto"/>
            <w:left w:val="none" w:sz="0" w:space="0" w:color="auto"/>
            <w:bottom w:val="none" w:sz="0" w:space="0" w:color="auto"/>
            <w:right w:val="none" w:sz="0" w:space="0" w:color="auto"/>
          </w:divBdr>
        </w:div>
        <w:div w:id="1088305144">
          <w:marLeft w:val="1354"/>
          <w:marRight w:val="0"/>
          <w:marTop w:val="75"/>
          <w:marBottom w:val="0"/>
          <w:divBdr>
            <w:top w:val="none" w:sz="0" w:space="0" w:color="auto"/>
            <w:left w:val="none" w:sz="0" w:space="0" w:color="auto"/>
            <w:bottom w:val="none" w:sz="0" w:space="0" w:color="auto"/>
            <w:right w:val="none" w:sz="0" w:space="0" w:color="auto"/>
          </w:divBdr>
        </w:div>
        <w:div w:id="1338776720">
          <w:marLeft w:val="806"/>
          <w:marRight w:val="0"/>
          <w:marTop w:val="75"/>
          <w:marBottom w:val="0"/>
          <w:divBdr>
            <w:top w:val="none" w:sz="0" w:space="0" w:color="auto"/>
            <w:left w:val="none" w:sz="0" w:space="0" w:color="auto"/>
            <w:bottom w:val="none" w:sz="0" w:space="0" w:color="auto"/>
            <w:right w:val="none" w:sz="0" w:space="0" w:color="auto"/>
          </w:divBdr>
        </w:div>
        <w:div w:id="1442842645">
          <w:marLeft w:val="806"/>
          <w:marRight w:val="0"/>
          <w:marTop w:val="75"/>
          <w:marBottom w:val="0"/>
          <w:divBdr>
            <w:top w:val="none" w:sz="0" w:space="0" w:color="auto"/>
            <w:left w:val="none" w:sz="0" w:space="0" w:color="auto"/>
            <w:bottom w:val="none" w:sz="0" w:space="0" w:color="auto"/>
            <w:right w:val="none" w:sz="0" w:space="0" w:color="auto"/>
          </w:divBdr>
        </w:div>
        <w:div w:id="1874803487">
          <w:marLeft w:val="1354"/>
          <w:marRight w:val="0"/>
          <w:marTop w:val="75"/>
          <w:marBottom w:val="0"/>
          <w:divBdr>
            <w:top w:val="none" w:sz="0" w:space="0" w:color="auto"/>
            <w:left w:val="none" w:sz="0" w:space="0" w:color="auto"/>
            <w:bottom w:val="none" w:sz="0" w:space="0" w:color="auto"/>
            <w:right w:val="none" w:sz="0" w:space="0" w:color="auto"/>
          </w:divBdr>
        </w:div>
        <w:div w:id="2062748785">
          <w:marLeft w:val="806"/>
          <w:marRight w:val="0"/>
          <w:marTop w:val="75"/>
          <w:marBottom w:val="0"/>
          <w:divBdr>
            <w:top w:val="none" w:sz="0" w:space="0" w:color="auto"/>
            <w:left w:val="none" w:sz="0" w:space="0" w:color="auto"/>
            <w:bottom w:val="none" w:sz="0" w:space="0" w:color="auto"/>
            <w:right w:val="none" w:sz="0" w:space="0" w:color="auto"/>
          </w:divBdr>
        </w:div>
      </w:divsChild>
    </w:div>
    <w:div w:id="940264318">
      <w:bodyDiv w:val="1"/>
      <w:marLeft w:val="0"/>
      <w:marRight w:val="0"/>
      <w:marTop w:val="0"/>
      <w:marBottom w:val="0"/>
      <w:divBdr>
        <w:top w:val="none" w:sz="0" w:space="0" w:color="auto"/>
        <w:left w:val="none" w:sz="0" w:space="0" w:color="auto"/>
        <w:bottom w:val="none" w:sz="0" w:space="0" w:color="auto"/>
        <w:right w:val="none" w:sz="0" w:space="0" w:color="auto"/>
      </w:divBdr>
    </w:div>
    <w:div w:id="981737250">
      <w:bodyDiv w:val="1"/>
      <w:marLeft w:val="0"/>
      <w:marRight w:val="0"/>
      <w:marTop w:val="0"/>
      <w:marBottom w:val="0"/>
      <w:divBdr>
        <w:top w:val="none" w:sz="0" w:space="0" w:color="auto"/>
        <w:left w:val="none" w:sz="0" w:space="0" w:color="auto"/>
        <w:bottom w:val="none" w:sz="0" w:space="0" w:color="auto"/>
        <w:right w:val="none" w:sz="0" w:space="0" w:color="auto"/>
      </w:divBdr>
    </w:div>
    <w:div w:id="1001200217">
      <w:bodyDiv w:val="1"/>
      <w:marLeft w:val="0"/>
      <w:marRight w:val="0"/>
      <w:marTop w:val="0"/>
      <w:marBottom w:val="0"/>
      <w:divBdr>
        <w:top w:val="none" w:sz="0" w:space="0" w:color="auto"/>
        <w:left w:val="none" w:sz="0" w:space="0" w:color="auto"/>
        <w:bottom w:val="none" w:sz="0" w:space="0" w:color="auto"/>
        <w:right w:val="none" w:sz="0" w:space="0" w:color="auto"/>
      </w:divBdr>
    </w:div>
    <w:div w:id="1006058627">
      <w:bodyDiv w:val="1"/>
      <w:marLeft w:val="0"/>
      <w:marRight w:val="0"/>
      <w:marTop w:val="0"/>
      <w:marBottom w:val="0"/>
      <w:divBdr>
        <w:top w:val="none" w:sz="0" w:space="0" w:color="auto"/>
        <w:left w:val="none" w:sz="0" w:space="0" w:color="auto"/>
        <w:bottom w:val="none" w:sz="0" w:space="0" w:color="auto"/>
        <w:right w:val="none" w:sz="0" w:space="0" w:color="auto"/>
      </w:divBdr>
    </w:div>
    <w:div w:id="1025139179">
      <w:bodyDiv w:val="1"/>
      <w:marLeft w:val="0"/>
      <w:marRight w:val="0"/>
      <w:marTop w:val="0"/>
      <w:marBottom w:val="0"/>
      <w:divBdr>
        <w:top w:val="none" w:sz="0" w:space="0" w:color="auto"/>
        <w:left w:val="none" w:sz="0" w:space="0" w:color="auto"/>
        <w:bottom w:val="none" w:sz="0" w:space="0" w:color="auto"/>
        <w:right w:val="none" w:sz="0" w:space="0" w:color="auto"/>
      </w:divBdr>
    </w:div>
    <w:div w:id="1029572870">
      <w:bodyDiv w:val="1"/>
      <w:marLeft w:val="0"/>
      <w:marRight w:val="0"/>
      <w:marTop w:val="0"/>
      <w:marBottom w:val="0"/>
      <w:divBdr>
        <w:top w:val="none" w:sz="0" w:space="0" w:color="auto"/>
        <w:left w:val="none" w:sz="0" w:space="0" w:color="auto"/>
        <w:bottom w:val="none" w:sz="0" w:space="0" w:color="auto"/>
        <w:right w:val="none" w:sz="0" w:space="0" w:color="auto"/>
      </w:divBdr>
    </w:div>
    <w:div w:id="1040469620">
      <w:bodyDiv w:val="1"/>
      <w:marLeft w:val="0"/>
      <w:marRight w:val="0"/>
      <w:marTop w:val="0"/>
      <w:marBottom w:val="0"/>
      <w:divBdr>
        <w:top w:val="none" w:sz="0" w:space="0" w:color="auto"/>
        <w:left w:val="none" w:sz="0" w:space="0" w:color="auto"/>
        <w:bottom w:val="none" w:sz="0" w:space="0" w:color="auto"/>
        <w:right w:val="none" w:sz="0" w:space="0" w:color="auto"/>
      </w:divBdr>
    </w:div>
    <w:div w:id="1067844483">
      <w:bodyDiv w:val="1"/>
      <w:marLeft w:val="0"/>
      <w:marRight w:val="0"/>
      <w:marTop w:val="0"/>
      <w:marBottom w:val="0"/>
      <w:divBdr>
        <w:top w:val="none" w:sz="0" w:space="0" w:color="auto"/>
        <w:left w:val="none" w:sz="0" w:space="0" w:color="auto"/>
        <w:bottom w:val="none" w:sz="0" w:space="0" w:color="auto"/>
        <w:right w:val="none" w:sz="0" w:space="0" w:color="auto"/>
      </w:divBdr>
    </w:div>
    <w:div w:id="1077826376">
      <w:bodyDiv w:val="1"/>
      <w:marLeft w:val="0"/>
      <w:marRight w:val="0"/>
      <w:marTop w:val="0"/>
      <w:marBottom w:val="0"/>
      <w:divBdr>
        <w:top w:val="none" w:sz="0" w:space="0" w:color="auto"/>
        <w:left w:val="none" w:sz="0" w:space="0" w:color="auto"/>
        <w:bottom w:val="none" w:sz="0" w:space="0" w:color="auto"/>
        <w:right w:val="none" w:sz="0" w:space="0" w:color="auto"/>
      </w:divBdr>
    </w:div>
    <w:div w:id="1084718666">
      <w:bodyDiv w:val="1"/>
      <w:marLeft w:val="0"/>
      <w:marRight w:val="0"/>
      <w:marTop w:val="0"/>
      <w:marBottom w:val="0"/>
      <w:divBdr>
        <w:top w:val="none" w:sz="0" w:space="0" w:color="auto"/>
        <w:left w:val="none" w:sz="0" w:space="0" w:color="auto"/>
        <w:bottom w:val="none" w:sz="0" w:space="0" w:color="auto"/>
        <w:right w:val="none" w:sz="0" w:space="0" w:color="auto"/>
      </w:divBdr>
    </w:div>
    <w:div w:id="1104959789">
      <w:bodyDiv w:val="1"/>
      <w:marLeft w:val="0"/>
      <w:marRight w:val="0"/>
      <w:marTop w:val="0"/>
      <w:marBottom w:val="0"/>
      <w:divBdr>
        <w:top w:val="none" w:sz="0" w:space="0" w:color="auto"/>
        <w:left w:val="none" w:sz="0" w:space="0" w:color="auto"/>
        <w:bottom w:val="none" w:sz="0" w:space="0" w:color="auto"/>
        <w:right w:val="none" w:sz="0" w:space="0" w:color="auto"/>
      </w:divBdr>
    </w:div>
    <w:div w:id="1134980740">
      <w:bodyDiv w:val="1"/>
      <w:marLeft w:val="0"/>
      <w:marRight w:val="0"/>
      <w:marTop w:val="0"/>
      <w:marBottom w:val="0"/>
      <w:divBdr>
        <w:top w:val="none" w:sz="0" w:space="0" w:color="auto"/>
        <w:left w:val="none" w:sz="0" w:space="0" w:color="auto"/>
        <w:bottom w:val="none" w:sz="0" w:space="0" w:color="auto"/>
        <w:right w:val="none" w:sz="0" w:space="0" w:color="auto"/>
      </w:divBdr>
    </w:div>
    <w:div w:id="1136292041">
      <w:bodyDiv w:val="1"/>
      <w:marLeft w:val="0"/>
      <w:marRight w:val="0"/>
      <w:marTop w:val="0"/>
      <w:marBottom w:val="0"/>
      <w:divBdr>
        <w:top w:val="none" w:sz="0" w:space="0" w:color="auto"/>
        <w:left w:val="none" w:sz="0" w:space="0" w:color="auto"/>
        <w:bottom w:val="none" w:sz="0" w:space="0" w:color="auto"/>
        <w:right w:val="none" w:sz="0" w:space="0" w:color="auto"/>
      </w:divBdr>
    </w:div>
    <w:div w:id="1160080877">
      <w:bodyDiv w:val="1"/>
      <w:marLeft w:val="0"/>
      <w:marRight w:val="0"/>
      <w:marTop w:val="0"/>
      <w:marBottom w:val="0"/>
      <w:divBdr>
        <w:top w:val="none" w:sz="0" w:space="0" w:color="auto"/>
        <w:left w:val="none" w:sz="0" w:space="0" w:color="auto"/>
        <w:bottom w:val="none" w:sz="0" w:space="0" w:color="auto"/>
        <w:right w:val="none" w:sz="0" w:space="0" w:color="auto"/>
      </w:divBdr>
    </w:div>
    <w:div w:id="1197692903">
      <w:bodyDiv w:val="1"/>
      <w:marLeft w:val="0"/>
      <w:marRight w:val="0"/>
      <w:marTop w:val="0"/>
      <w:marBottom w:val="0"/>
      <w:divBdr>
        <w:top w:val="none" w:sz="0" w:space="0" w:color="auto"/>
        <w:left w:val="none" w:sz="0" w:space="0" w:color="auto"/>
        <w:bottom w:val="none" w:sz="0" w:space="0" w:color="auto"/>
        <w:right w:val="none" w:sz="0" w:space="0" w:color="auto"/>
      </w:divBdr>
    </w:div>
    <w:div w:id="1204831887">
      <w:bodyDiv w:val="1"/>
      <w:marLeft w:val="0"/>
      <w:marRight w:val="0"/>
      <w:marTop w:val="0"/>
      <w:marBottom w:val="0"/>
      <w:divBdr>
        <w:top w:val="none" w:sz="0" w:space="0" w:color="auto"/>
        <w:left w:val="none" w:sz="0" w:space="0" w:color="auto"/>
        <w:bottom w:val="none" w:sz="0" w:space="0" w:color="auto"/>
        <w:right w:val="none" w:sz="0" w:space="0" w:color="auto"/>
      </w:divBdr>
    </w:div>
    <w:div w:id="1260867212">
      <w:bodyDiv w:val="1"/>
      <w:marLeft w:val="0"/>
      <w:marRight w:val="0"/>
      <w:marTop w:val="0"/>
      <w:marBottom w:val="0"/>
      <w:divBdr>
        <w:top w:val="none" w:sz="0" w:space="0" w:color="auto"/>
        <w:left w:val="none" w:sz="0" w:space="0" w:color="auto"/>
        <w:bottom w:val="none" w:sz="0" w:space="0" w:color="auto"/>
        <w:right w:val="none" w:sz="0" w:space="0" w:color="auto"/>
      </w:divBdr>
      <w:divsChild>
        <w:div w:id="62724917">
          <w:marLeft w:val="274"/>
          <w:marRight w:val="0"/>
          <w:marTop w:val="150"/>
          <w:marBottom w:val="0"/>
          <w:divBdr>
            <w:top w:val="none" w:sz="0" w:space="0" w:color="auto"/>
            <w:left w:val="none" w:sz="0" w:space="0" w:color="auto"/>
            <w:bottom w:val="none" w:sz="0" w:space="0" w:color="auto"/>
            <w:right w:val="none" w:sz="0" w:space="0" w:color="auto"/>
          </w:divBdr>
        </w:div>
        <w:div w:id="356733955">
          <w:marLeft w:val="274"/>
          <w:marRight w:val="0"/>
          <w:marTop w:val="150"/>
          <w:marBottom w:val="0"/>
          <w:divBdr>
            <w:top w:val="none" w:sz="0" w:space="0" w:color="auto"/>
            <w:left w:val="none" w:sz="0" w:space="0" w:color="auto"/>
            <w:bottom w:val="none" w:sz="0" w:space="0" w:color="auto"/>
            <w:right w:val="none" w:sz="0" w:space="0" w:color="auto"/>
          </w:divBdr>
        </w:div>
        <w:div w:id="447890296">
          <w:marLeft w:val="806"/>
          <w:marRight w:val="0"/>
          <w:marTop w:val="75"/>
          <w:marBottom w:val="0"/>
          <w:divBdr>
            <w:top w:val="none" w:sz="0" w:space="0" w:color="auto"/>
            <w:left w:val="none" w:sz="0" w:space="0" w:color="auto"/>
            <w:bottom w:val="none" w:sz="0" w:space="0" w:color="auto"/>
            <w:right w:val="none" w:sz="0" w:space="0" w:color="auto"/>
          </w:divBdr>
        </w:div>
        <w:div w:id="639311576">
          <w:marLeft w:val="1354"/>
          <w:marRight w:val="0"/>
          <w:marTop w:val="75"/>
          <w:marBottom w:val="0"/>
          <w:divBdr>
            <w:top w:val="none" w:sz="0" w:space="0" w:color="auto"/>
            <w:left w:val="none" w:sz="0" w:space="0" w:color="auto"/>
            <w:bottom w:val="none" w:sz="0" w:space="0" w:color="auto"/>
            <w:right w:val="none" w:sz="0" w:space="0" w:color="auto"/>
          </w:divBdr>
        </w:div>
        <w:div w:id="663699675">
          <w:marLeft w:val="806"/>
          <w:marRight w:val="0"/>
          <w:marTop w:val="75"/>
          <w:marBottom w:val="0"/>
          <w:divBdr>
            <w:top w:val="none" w:sz="0" w:space="0" w:color="auto"/>
            <w:left w:val="none" w:sz="0" w:space="0" w:color="auto"/>
            <w:bottom w:val="none" w:sz="0" w:space="0" w:color="auto"/>
            <w:right w:val="none" w:sz="0" w:space="0" w:color="auto"/>
          </w:divBdr>
        </w:div>
        <w:div w:id="852375925">
          <w:marLeft w:val="1354"/>
          <w:marRight w:val="0"/>
          <w:marTop w:val="75"/>
          <w:marBottom w:val="0"/>
          <w:divBdr>
            <w:top w:val="none" w:sz="0" w:space="0" w:color="auto"/>
            <w:left w:val="none" w:sz="0" w:space="0" w:color="auto"/>
            <w:bottom w:val="none" w:sz="0" w:space="0" w:color="auto"/>
            <w:right w:val="none" w:sz="0" w:space="0" w:color="auto"/>
          </w:divBdr>
        </w:div>
        <w:div w:id="1092362520">
          <w:marLeft w:val="806"/>
          <w:marRight w:val="0"/>
          <w:marTop w:val="75"/>
          <w:marBottom w:val="0"/>
          <w:divBdr>
            <w:top w:val="none" w:sz="0" w:space="0" w:color="auto"/>
            <w:left w:val="none" w:sz="0" w:space="0" w:color="auto"/>
            <w:bottom w:val="none" w:sz="0" w:space="0" w:color="auto"/>
            <w:right w:val="none" w:sz="0" w:space="0" w:color="auto"/>
          </w:divBdr>
        </w:div>
        <w:div w:id="1126511868">
          <w:marLeft w:val="806"/>
          <w:marRight w:val="0"/>
          <w:marTop w:val="75"/>
          <w:marBottom w:val="0"/>
          <w:divBdr>
            <w:top w:val="none" w:sz="0" w:space="0" w:color="auto"/>
            <w:left w:val="none" w:sz="0" w:space="0" w:color="auto"/>
            <w:bottom w:val="none" w:sz="0" w:space="0" w:color="auto"/>
            <w:right w:val="none" w:sz="0" w:space="0" w:color="auto"/>
          </w:divBdr>
        </w:div>
        <w:div w:id="1176337544">
          <w:marLeft w:val="806"/>
          <w:marRight w:val="0"/>
          <w:marTop w:val="75"/>
          <w:marBottom w:val="0"/>
          <w:divBdr>
            <w:top w:val="none" w:sz="0" w:space="0" w:color="auto"/>
            <w:left w:val="none" w:sz="0" w:space="0" w:color="auto"/>
            <w:bottom w:val="none" w:sz="0" w:space="0" w:color="auto"/>
            <w:right w:val="none" w:sz="0" w:space="0" w:color="auto"/>
          </w:divBdr>
        </w:div>
        <w:div w:id="1323896222">
          <w:marLeft w:val="806"/>
          <w:marRight w:val="0"/>
          <w:marTop w:val="75"/>
          <w:marBottom w:val="0"/>
          <w:divBdr>
            <w:top w:val="none" w:sz="0" w:space="0" w:color="auto"/>
            <w:left w:val="none" w:sz="0" w:space="0" w:color="auto"/>
            <w:bottom w:val="none" w:sz="0" w:space="0" w:color="auto"/>
            <w:right w:val="none" w:sz="0" w:space="0" w:color="auto"/>
          </w:divBdr>
        </w:div>
        <w:div w:id="1404986057">
          <w:marLeft w:val="806"/>
          <w:marRight w:val="0"/>
          <w:marTop w:val="75"/>
          <w:marBottom w:val="0"/>
          <w:divBdr>
            <w:top w:val="none" w:sz="0" w:space="0" w:color="auto"/>
            <w:left w:val="none" w:sz="0" w:space="0" w:color="auto"/>
            <w:bottom w:val="none" w:sz="0" w:space="0" w:color="auto"/>
            <w:right w:val="none" w:sz="0" w:space="0" w:color="auto"/>
          </w:divBdr>
        </w:div>
        <w:div w:id="1518273534">
          <w:marLeft w:val="806"/>
          <w:marRight w:val="0"/>
          <w:marTop w:val="75"/>
          <w:marBottom w:val="0"/>
          <w:divBdr>
            <w:top w:val="none" w:sz="0" w:space="0" w:color="auto"/>
            <w:left w:val="none" w:sz="0" w:space="0" w:color="auto"/>
            <w:bottom w:val="none" w:sz="0" w:space="0" w:color="auto"/>
            <w:right w:val="none" w:sz="0" w:space="0" w:color="auto"/>
          </w:divBdr>
        </w:div>
        <w:div w:id="2111509996">
          <w:marLeft w:val="806"/>
          <w:marRight w:val="0"/>
          <w:marTop w:val="75"/>
          <w:marBottom w:val="0"/>
          <w:divBdr>
            <w:top w:val="none" w:sz="0" w:space="0" w:color="auto"/>
            <w:left w:val="none" w:sz="0" w:space="0" w:color="auto"/>
            <w:bottom w:val="none" w:sz="0" w:space="0" w:color="auto"/>
            <w:right w:val="none" w:sz="0" w:space="0" w:color="auto"/>
          </w:divBdr>
        </w:div>
      </w:divsChild>
    </w:div>
    <w:div w:id="1269308932">
      <w:bodyDiv w:val="1"/>
      <w:marLeft w:val="0"/>
      <w:marRight w:val="0"/>
      <w:marTop w:val="0"/>
      <w:marBottom w:val="0"/>
      <w:divBdr>
        <w:top w:val="none" w:sz="0" w:space="0" w:color="auto"/>
        <w:left w:val="none" w:sz="0" w:space="0" w:color="auto"/>
        <w:bottom w:val="none" w:sz="0" w:space="0" w:color="auto"/>
        <w:right w:val="none" w:sz="0" w:space="0" w:color="auto"/>
      </w:divBdr>
    </w:div>
    <w:div w:id="1301572792">
      <w:bodyDiv w:val="1"/>
      <w:marLeft w:val="0"/>
      <w:marRight w:val="0"/>
      <w:marTop w:val="0"/>
      <w:marBottom w:val="0"/>
      <w:divBdr>
        <w:top w:val="none" w:sz="0" w:space="0" w:color="auto"/>
        <w:left w:val="none" w:sz="0" w:space="0" w:color="auto"/>
        <w:bottom w:val="none" w:sz="0" w:space="0" w:color="auto"/>
        <w:right w:val="none" w:sz="0" w:space="0" w:color="auto"/>
      </w:divBdr>
    </w:div>
    <w:div w:id="1336420902">
      <w:bodyDiv w:val="1"/>
      <w:marLeft w:val="0"/>
      <w:marRight w:val="0"/>
      <w:marTop w:val="0"/>
      <w:marBottom w:val="0"/>
      <w:divBdr>
        <w:top w:val="none" w:sz="0" w:space="0" w:color="auto"/>
        <w:left w:val="none" w:sz="0" w:space="0" w:color="auto"/>
        <w:bottom w:val="none" w:sz="0" w:space="0" w:color="auto"/>
        <w:right w:val="none" w:sz="0" w:space="0" w:color="auto"/>
      </w:divBdr>
    </w:div>
    <w:div w:id="1352342511">
      <w:bodyDiv w:val="1"/>
      <w:marLeft w:val="0"/>
      <w:marRight w:val="0"/>
      <w:marTop w:val="0"/>
      <w:marBottom w:val="0"/>
      <w:divBdr>
        <w:top w:val="none" w:sz="0" w:space="0" w:color="auto"/>
        <w:left w:val="none" w:sz="0" w:space="0" w:color="auto"/>
        <w:bottom w:val="none" w:sz="0" w:space="0" w:color="auto"/>
        <w:right w:val="none" w:sz="0" w:space="0" w:color="auto"/>
      </w:divBdr>
    </w:div>
    <w:div w:id="1372263248">
      <w:bodyDiv w:val="1"/>
      <w:marLeft w:val="0"/>
      <w:marRight w:val="0"/>
      <w:marTop w:val="0"/>
      <w:marBottom w:val="0"/>
      <w:divBdr>
        <w:top w:val="none" w:sz="0" w:space="0" w:color="auto"/>
        <w:left w:val="none" w:sz="0" w:space="0" w:color="auto"/>
        <w:bottom w:val="none" w:sz="0" w:space="0" w:color="auto"/>
        <w:right w:val="none" w:sz="0" w:space="0" w:color="auto"/>
      </w:divBdr>
      <w:divsChild>
        <w:div w:id="519900627">
          <w:marLeft w:val="274"/>
          <w:marRight w:val="0"/>
          <w:marTop w:val="45"/>
          <w:marBottom w:val="0"/>
          <w:divBdr>
            <w:top w:val="none" w:sz="0" w:space="0" w:color="auto"/>
            <w:left w:val="none" w:sz="0" w:space="0" w:color="auto"/>
            <w:bottom w:val="none" w:sz="0" w:space="0" w:color="auto"/>
            <w:right w:val="none" w:sz="0" w:space="0" w:color="auto"/>
          </w:divBdr>
        </w:div>
        <w:div w:id="604650754">
          <w:marLeft w:val="274"/>
          <w:marRight w:val="0"/>
          <w:marTop w:val="45"/>
          <w:marBottom w:val="0"/>
          <w:divBdr>
            <w:top w:val="none" w:sz="0" w:space="0" w:color="auto"/>
            <w:left w:val="none" w:sz="0" w:space="0" w:color="auto"/>
            <w:bottom w:val="none" w:sz="0" w:space="0" w:color="auto"/>
            <w:right w:val="none" w:sz="0" w:space="0" w:color="auto"/>
          </w:divBdr>
        </w:div>
        <w:div w:id="642395224">
          <w:marLeft w:val="274"/>
          <w:marRight w:val="0"/>
          <w:marTop w:val="45"/>
          <w:marBottom w:val="0"/>
          <w:divBdr>
            <w:top w:val="none" w:sz="0" w:space="0" w:color="auto"/>
            <w:left w:val="none" w:sz="0" w:space="0" w:color="auto"/>
            <w:bottom w:val="none" w:sz="0" w:space="0" w:color="auto"/>
            <w:right w:val="none" w:sz="0" w:space="0" w:color="auto"/>
          </w:divBdr>
        </w:div>
        <w:div w:id="956182870">
          <w:marLeft w:val="274"/>
          <w:marRight w:val="0"/>
          <w:marTop w:val="45"/>
          <w:marBottom w:val="0"/>
          <w:divBdr>
            <w:top w:val="none" w:sz="0" w:space="0" w:color="auto"/>
            <w:left w:val="none" w:sz="0" w:space="0" w:color="auto"/>
            <w:bottom w:val="none" w:sz="0" w:space="0" w:color="auto"/>
            <w:right w:val="none" w:sz="0" w:space="0" w:color="auto"/>
          </w:divBdr>
        </w:div>
        <w:div w:id="1477911029">
          <w:marLeft w:val="274"/>
          <w:marRight w:val="0"/>
          <w:marTop w:val="45"/>
          <w:marBottom w:val="0"/>
          <w:divBdr>
            <w:top w:val="none" w:sz="0" w:space="0" w:color="auto"/>
            <w:left w:val="none" w:sz="0" w:space="0" w:color="auto"/>
            <w:bottom w:val="none" w:sz="0" w:space="0" w:color="auto"/>
            <w:right w:val="none" w:sz="0" w:space="0" w:color="auto"/>
          </w:divBdr>
        </w:div>
        <w:div w:id="1570992010">
          <w:marLeft w:val="274"/>
          <w:marRight w:val="0"/>
          <w:marTop w:val="45"/>
          <w:marBottom w:val="0"/>
          <w:divBdr>
            <w:top w:val="none" w:sz="0" w:space="0" w:color="auto"/>
            <w:left w:val="none" w:sz="0" w:space="0" w:color="auto"/>
            <w:bottom w:val="none" w:sz="0" w:space="0" w:color="auto"/>
            <w:right w:val="none" w:sz="0" w:space="0" w:color="auto"/>
          </w:divBdr>
        </w:div>
      </w:divsChild>
    </w:div>
    <w:div w:id="1397628430">
      <w:bodyDiv w:val="1"/>
      <w:marLeft w:val="0"/>
      <w:marRight w:val="0"/>
      <w:marTop w:val="0"/>
      <w:marBottom w:val="0"/>
      <w:divBdr>
        <w:top w:val="none" w:sz="0" w:space="0" w:color="auto"/>
        <w:left w:val="none" w:sz="0" w:space="0" w:color="auto"/>
        <w:bottom w:val="none" w:sz="0" w:space="0" w:color="auto"/>
        <w:right w:val="none" w:sz="0" w:space="0" w:color="auto"/>
      </w:divBdr>
    </w:div>
    <w:div w:id="1399475953">
      <w:bodyDiv w:val="1"/>
      <w:marLeft w:val="0"/>
      <w:marRight w:val="0"/>
      <w:marTop w:val="0"/>
      <w:marBottom w:val="0"/>
      <w:divBdr>
        <w:top w:val="none" w:sz="0" w:space="0" w:color="auto"/>
        <w:left w:val="none" w:sz="0" w:space="0" w:color="auto"/>
        <w:bottom w:val="none" w:sz="0" w:space="0" w:color="auto"/>
        <w:right w:val="none" w:sz="0" w:space="0" w:color="auto"/>
      </w:divBdr>
    </w:div>
    <w:div w:id="1430201346">
      <w:bodyDiv w:val="1"/>
      <w:marLeft w:val="0"/>
      <w:marRight w:val="0"/>
      <w:marTop w:val="0"/>
      <w:marBottom w:val="0"/>
      <w:divBdr>
        <w:top w:val="none" w:sz="0" w:space="0" w:color="auto"/>
        <w:left w:val="none" w:sz="0" w:space="0" w:color="auto"/>
        <w:bottom w:val="none" w:sz="0" w:space="0" w:color="auto"/>
        <w:right w:val="none" w:sz="0" w:space="0" w:color="auto"/>
      </w:divBdr>
    </w:div>
    <w:div w:id="1431048550">
      <w:bodyDiv w:val="1"/>
      <w:marLeft w:val="0"/>
      <w:marRight w:val="0"/>
      <w:marTop w:val="0"/>
      <w:marBottom w:val="0"/>
      <w:divBdr>
        <w:top w:val="none" w:sz="0" w:space="0" w:color="auto"/>
        <w:left w:val="none" w:sz="0" w:space="0" w:color="auto"/>
        <w:bottom w:val="none" w:sz="0" w:space="0" w:color="auto"/>
        <w:right w:val="none" w:sz="0" w:space="0" w:color="auto"/>
      </w:divBdr>
    </w:div>
    <w:div w:id="1433282963">
      <w:bodyDiv w:val="1"/>
      <w:marLeft w:val="0"/>
      <w:marRight w:val="0"/>
      <w:marTop w:val="0"/>
      <w:marBottom w:val="0"/>
      <w:divBdr>
        <w:top w:val="none" w:sz="0" w:space="0" w:color="auto"/>
        <w:left w:val="none" w:sz="0" w:space="0" w:color="auto"/>
        <w:bottom w:val="none" w:sz="0" w:space="0" w:color="auto"/>
        <w:right w:val="none" w:sz="0" w:space="0" w:color="auto"/>
      </w:divBdr>
    </w:div>
    <w:div w:id="1437023112">
      <w:bodyDiv w:val="1"/>
      <w:marLeft w:val="0"/>
      <w:marRight w:val="0"/>
      <w:marTop w:val="0"/>
      <w:marBottom w:val="0"/>
      <w:divBdr>
        <w:top w:val="none" w:sz="0" w:space="0" w:color="auto"/>
        <w:left w:val="none" w:sz="0" w:space="0" w:color="auto"/>
        <w:bottom w:val="none" w:sz="0" w:space="0" w:color="auto"/>
        <w:right w:val="none" w:sz="0" w:space="0" w:color="auto"/>
      </w:divBdr>
    </w:div>
    <w:div w:id="1445079010">
      <w:bodyDiv w:val="1"/>
      <w:marLeft w:val="0"/>
      <w:marRight w:val="0"/>
      <w:marTop w:val="0"/>
      <w:marBottom w:val="0"/>
      <w:divBdr>
        <w:top w:val="none" w:sz="0" w:space="0" w:color="auto"/>
        <w:left w:val="none" w:sz="0" w:space="0" w:color="auto"/>
        <w:bottom w:val="none" w:sz="0" w:space="0" w:color="auto"/>
        <w:right w:val="none" w:sz="0" w:space="0" w:color="auto"/>
      </w:divBdr>
    </w:div>
    <w:div w:id="1476027993">
      <w:bodyDiv w:val="1"/>
      <w:marLeft w:val="0"/>
      <w:marRight w:val="0"/>
      <w:marTop w:val="0"/>
      <w:marBottom w:val="0"/>
      <w:divBdr>
        <w:top w:val="none" w:sz="0" w:space="0" w:color="auto"/>
        <w:left w:val="none" w:sz="0" w:space="0" w:color="auto"/>
        <w:bottom w:val="none" w:sz="0" w:space="0" w:color="auto"/>
        <w:right w:val="none" w:sz="0" w:space="0" w:color="auto"/>
      </w:divBdr>
    </w:div>
    <w:div w:id="1494104617">
      <w:bodyDiv w:val="1"/>
      <w:marLeft w:val="0"/>
      <w:marRight w:val="0"/>
      <w:marTop w:val="0"/>
      <w:marBottom w:val="0"/>
      <w:divBdr>
        <w:top w:val="none" w:sz="0" w:space="0" w:color="auto"/>
        <w:left w:val="none" w:sz="0" w:space="0" w:color="auto"/>
        <w:bottom w:val="none" w:sz="0" w:space="0" w:color="auto"/>
        <w:right w:val="none" w:sz="0" w:space="0" w:color="auto"/>
      </w:divBdr>
    </w:div>
    <w:div w:id="1515876921">
      <w:bodyDiv w:val="1"/>
      <w:marLeft w:val="0"/>
      <w:marRight w:val="0"/>
      <w:marTop w:val="0"/>
      <w:marBottom w:val="0"/>
      <w:divBdr>
        <w:top w:val="none" w:sz="0" w:space="0" w:color="auto"/>
        <w:left w:val="none" w:sz="0" w:space="0" w:color="auto"/>
        <w:bottom w:val="none" w:sz="0" w:space="0" w:color="auto"/>
        <w:right w:val="none" w:sz="0" w:space="0" w:color="auto"/>
      </w:divBdr>
    </w:div>
    <w:div w:id="1518543800">
      <w:bodyDiv w:val="1"/>
      <w:marLeft w:val="0"/>
      <w:marRight w:val="0"/>
      <w:marTop w:val="0"/>
      <w:marBottom w:val="0"/>
      <w:divBdr>
        <w:top w:val="none" w:sz="0" w:space="0" w:color="auto"/>
        <w:left w:val="none" w:sz="0" w:space="0" w:color="auto"/>
        <w:bottom w:val="none" w:sz="0" w:space="0" w:color="auto"/>
        <w:right w:val="none" w:sz="0" w:space="0" w:color="auto"/>
      </w:divBdr>
    </w:div>
    <w:div w:id="1543058222">
      <w:bodyDiv w:val="1"/>
      <w:marLeft w:val="0"/>
      <w:marRight w:val="0"/>
      <w:marTop w:val="0"/>
      <w:marBottom w:val="0"/>
      <w:divBdr>
        <w:top w:val="none" w:sz="0" w:space="0" w:color="auto"/>
        <w:left w:val="none" w:sz="0" w:space="0" w:color="auto"/>
        <w:bottom w:val="none" w:sz="0" w:space="0" w:color="auto"/>
        <w:right w:val="none" w:sz="0" w:space="0" w:color="auto"/>
      </w:divBdr>
    </w:div>
    <w:div w:id="1573152492">
      <w:bodyDiv w:val="1"/>
      <w:marLeft w:val="0"/>
      <w:marRight w:val="0"/>
      <w:marTop w:val="0"/>
      <w:marBottom w:val="0"/>
      <w:divBdr>
        <w:top w:val="none" w:sz="0" w:space="0" w:color="auto"/>
        <w:left w:val="none" w:sz="0" w:space="0" w:color="auto"/>
        <w:bottom w:val="none" w:sz="0" w:space="0" w:color="auto"/>
        <w:right w:val="none" w:sz="0" w:space="0" w:color="auto"/>
      </w:divBdr>
    </w:div>
    <w:div w:id="1604074644">
      <w:bodyDiv w:val="1"/>
      <w:marLeft w:val="0"/>
      <w:marRight w:val="0"/>
      <w:marTop w:val="0"/>
      <w:marBottom w:val="0"/>
      <w:divBdr>
        <w:top w:val="none" w:sz="0" w:space="0" w:color="auto"/>
        <w:left w:val="none" w:sz="0" w:space="0" w:color="auto"/>
        <w:bottom w:val="none" w:sz="0" w:space="0" w:color="auto"/>
        <w:right w:val="none" w:sz="0" w:space="0" w:color="auto"/>
      </w:divBdr>
    </w:div>
    <w:div w:id="1623686808">
      <w:bodyDiv w:val="1"/>
      <w:marLeft w:val="0"/>
      <w:marRight w:val="0"/>
      <w:marTop w:val="0"/>
      <w:marBottom w:val="0"/>
      <w:divBdr>
        <w:top w:val="none" w:sz="0" w:space="0" w:color="auto"/>
        <w:left w:val="none" w:sz="0" w:space="0" w:color="auto"/>
        <w:bottom w:val="none" w:sz="0" w:space="0" w:color="auto"/>
        <w:right w:val="none" w:sz="0" w:space="0" w:color="auto"/>
      </w:divBdr>
    </w:div>
    <w:div w:id="1633752542">
      <w:bodyDiv w:val="1"/>
      <w:marLeft w:val="0"/>
      <w:marRight w:val="0"/>
      <w:marTop w:val="0"/>
      <w:marBottom w:val="0"/>
      <w:divBdr>
        <w:top w:val="none" w:sz="0" w:space="0" w:color="auto"/>
        <w:left w:val="none" w:sz="0" w:space="0" w:color="auto"/>
        <w:bottom w:val="none" w:sz="0" w:space="0" w:color="auto"/>
        <w:right w:val="none" w:sz="0" w:space="0" w:color="auto"/>
      </w:divBdr>
    </w:div>
    <w:div w:id="1692221379">
      <w:bodyDiv w:val="1"/>
      <w:marLeft w:val="0"/>
      <w:marRight w:val="0"/>
      <w:marTop w:val="0"/>
      <w:marBottom w:val="0"/>
      <w:divBdr>
        <w:top w:val="none" w:sz="0" w:space="0" w:color="auto"/>
        <w:left w:val="none" w:sz="0" w:space="0" w:color="auto"/>
        <w:bottom w:val="none" w:sz="0" w:space="0" w:color="auto"/>
        <w:right w:val="none" w:sz="0" w:space="0" w:color="auto"/>
      </w:divBdr>
    </w:div>
    <w:div w:id="1733498359">
      <w:bodyDiv w:val="1"/>
      <w:marLeft w:val="0"/>
      <w:marRight w:val="0"/>
      <w:marTop w:val="0"/>
      <w:marBottom w:val="0"/>
      <w:divBdr>
        <w:top w:val="none" w:sz="0" w:space="0" w:color="auto"/>
        <w:left w:val="none" w:sz="0" w:space="0" w:color="auto"/>
        <w:bottom w:val="none" w:sz="0" w:space="0" w:color="auto"/>
        <w:right w:val="none" w:sz="0" w:space="0" w:color="auto"/>
      </w:divBdr>
    </w:div>
    <w:div w:id="1740595345">
      <w:bodyDiv w:val="1"/>
      <w:marLeft w:val="0"/>
      <w:marRight w:val="0"/>
      <w:marTop w:val="0"/>
      <w:marBottom w:val="0"/>
      <w:divBdr>
        <w:top w:val="none" w:sz="0" w:space="0" w:color="auto"/>
        <w:left w:val="none" w:sz="0" w:space="0" w:color="auto"/>
        <w:bottom w:val="none" w:sz="0" w:space="0" w:color="auto"/>
        <w:right w:val="none" w:sz="0" w:space="0" w:color="auto"/>
      </w:divBdr>
    </w:div>
    <w:div w:id="1760715072">
      <w:bodyDiv w:val="1"/>
      <w:marLeft w:val="0"/>
      <w:marRight w:val="0"/>
      <w:marTop w:val="0"/>
      <w:marBottom w:val="0"/>
      <w:divBdr>
        <w:top w:val="none" w:sz="0" w:space="0" w:color="auto"/>
        <w:left w:val="none" w:sz="0" w:space="0" w:color="auto"/>
        <w:bottom w:val="none" w:sz="0" w:space="0" w:color="auto"/>
        <w:right w:val="none" w:sz="0" w:space="0" w:color="auto"/>
      </w:divBdr>
    </w:div>
    <w:div w:id="1761757970">
      <w:bodyDiv w:val="1"/>
      <w:marLeft w:val="0"/>
      <w:marRight w:val="0"/>
      <w:marTop w:val="0"/>
      <w:marBottom w:val="0"/>
      <w:divBdr>
        <w:top w:val="none" w:sz="0" w:space="0" w:color="auto"/>
        <w:left w:val="none" w:sz="0" w:space="0" w:color="auto"/>
        <w:bottom w:val="none" w:sz="0" w:space="0" w:color="auto"/>
        <w:right w:val="none" w:sz="0" w:space="0" w:color="auto"/>
      </w:divBdr>
    </w:div>
    <w:div w:id="1776707609">
      <w:bodyDiv w:val="1"/>
      <w:marLeft w:val="0"/>
      <w:marRight w:val="0"/>
      <w:marTop w:val="0"/>
      <w:marBottom w:val="0"/>
      <w:divBdr>
        <w:top w:val="none" w:sz="0" w:space="0" w:color="auto"/>
        <w:left w:val="none" w:sz="0" w:space="0" w:color="auto"/>
        <w:bottom w:val="none" w:sz="0" w:space="0" w:color="auto"/>
        <w:right w:val="none" w:sz="0" w:space="0" w:color="auto"/>
      </w:divBdr>
    </w:div>
    <w:div w:id="1790977341">
      <w:bodyDiv w:val="1"/>
      <w:marLeft w:val="0"/>
      <w:marRight w:val="0"/>
      <w:marTop w:val="0"/>
      <w:marBottom w:val="0"/>
      <w:divBdr>
        <w:top w:val="none" w:sz="0" w:space="0" w:color="auto"/>
        <w:left w:val="none" w:sz="0" w:space="0" w:color="auto"/>
        <w:bottom w:val="none" w:sz="0" w:space="0" w:color="auto"/>
        <w:right w:val="none" w:sz="0" w:space="0" w:color="auto"/>
      </w:divBdr>
    </w:div>
    <w:div w:id="1810199646">
      <w:bodyDiv w:val="1"/>
      <w:marLeft w:val="0"/>
      <w:marRight w:val="0"/>
      <w:marTop w:val="0"/>
      <w:marBottom w:val="0"/>
      <w:divBdr>
        <w:top w:val="none" w:sz="0" w:space="0" w:color="auto"/>
        <w:left w:val="none" w:sz="0" w:space="0" w:color="auto"/>
        <w:bottom w:val="none" w:sz="0" w:space="0" w:color="auto"/>
        <w:right w:val="none" w:sz="0" w:space="0" w:color="auto"/>
      </w:divBdr>
    </w:div>
    <w:div w:id="1848519631">
      <w:bodyDiv w:val="1"/>
      <w:marLeft w:val="0"/>
      <w:marRight w:val="0"/>
      <w:marTop w:val="0"/>
      <w:marBottom w:val="0"/>
      <w:divBdr>
        <w:top w:val="none" w:sz="0" w:space="0" w:color="auto"/>
        <w:left w:val="none" w:sz="0" w:space="0" w:color="auto"/>
        <w:bottom w:val="none" w:sz="0" w:space="0" w:color="auto"/>
        <w:right w:val="none" w:sz="0" w:space="0" w:color="auto"/>
      </w:divBdr>
    </w:div>
    <w:div w:id="1850215985">
      <w:bodyDiv w:val="1"/>
      <w:marLeft w:val="0"/>
      <w:marRight w:val="0"/>
      <w:marTop w:val="0"/>
      <w:marBottom w:val="0"/>
      <w:divBdr>
        <w:top w:val="none" w:sz="0" w:space="0" w:color="auto"/>
        <w:left w:val="none" w:sz="0" w:space="0" w:color="auto"/>
        <w:bottom w:val="none" w:sz="0" w:space="0" w:color="auto"/>
        <w:right w:val="none" w:sz="0" w:space="0" w:color="auto"/>
      </w:divBdr>
    </w:div>
    <w:div w:id="1867517308">
      <w:bodyDiv w:val="1"/>
      <w:marLeft w:val="0"/>
      <w:marRight w:val="0"/>
      <w:marTop w:val="0"/>
      <w:marBottom w:val="0"/>
      <w:divBdr>
        <w:top w:val="none" w:sz="0" w:space="0" w:color="auto"/>
        <w:left w:val="none" w:sz="0" w:space="0" w:color="auto"/>
        <w:bottom w:val="none" w:sz="0" w:space="0" w:color="auto"/>
        <w:right w:val="none" w:sz="0" w:space="0" w:color="auto"/>
      </w:divBdr>
      <w:divsChild>
        <w:div w:id="30811068">
          <w:marLeft w:val="806"/>
          <w:marRight w:val="0"/>
          <w:marTop w:val="60"/>
          <w:marBottom w:val="0"/>
          <w:divBdr>
            <w:top w:val="none" w:sz="0" w:space="0" w:color="auto"/>
            <w:left w:val="none" w:sz="0" w:space="0" w:color="auto"/>
            <w:bottom w:val="none" w:sz="0" w:space="0" w:color="auto"/>
            <w:right w:val="none" w:sz="0" w:space="0" w:color="auto"/>
          </w:divBdr>
        </w:div>
        <w:div w:id="359479718">
          <w:marLeft w:val="274"/>
          <w:marRight w:val="0"/>
          <w:marTop w:val="60"/>
          <w:marBottom w:val="0"/>
          <w:divBdr>
            <w:top w:val="none" w:sz="0" w:space="0" w:color="auto"/>
            <w:left w:val="none" w:sz="0" w:space="0" w:color="auto"/>
            <w:bottom w:val="none" w:sz="0" w:space="0" w:color="auto"/>
            <w:right w:val="none" w:sz="0" w:space="0" w:color="auto"/>
          </w:divBdr>
        </w:div>
        <w:div w:id="434832076">
          <w:marLeft w:val="806"/>
          <w:marRight w:val="0"/>
          <w:marTop w:val="60"/>
          <w:marBottom w:val="0"/>
          <w:divBdr>
            <w:top w:val="none" w:sz="0" w:space="0" w:color="auto"/>
            <w:left w:val="none" w:sz="0" w:space="0" w:color="auto"/>
            <w:bottom w:val="none" w:sz="0" w:space="0" w:color="auto"/>
            <w:right w:val="none" w:sz="0" w:space="0" w:color="auto"/>
          </w:divBdr>
        </w:div>
        <w:div w:id="445849251">
          <w:marLeft w:val="806"/>
          <w:marRight w:val="0"/>
          <w:marTop w:val="60"/>
          <w:marBottom w:val="0"/>
          <w:divBdr>
            <w:top w:val="none" w:sz="0" w:space="0" w:color="auto"/>
            <w:left w:val="none" w:sz="0" w:space="0" w:color="auto"/>
            <w:bottom w:val="none" w:sz="0" w:space="0" w:color="auto"/>
            <w:right w:val="none" w:sz="0" w:space="0" w:color="auto"/>
          </w:divBdr>
        </w:div>
        <w:div w:id="510997134">
          <w:marLeft w:val="806"/>
          <w:marRight w:val="0"/>
          <w:marTop w:val="60"/>
          <w:marBottom w:val="0"/>
          <w:divBdr>
            <w:top w:val="none" w:sz="0" w:space="0" w:color="auto"/>
            <w:left w:val="none" w:sz="0" w:space="0" w:color="auto"/>
            <w:bottom w:val="none" w:sz="0" w:space="0" w:color="auto"/>
            <w:right w:val="none" w:sz="0" w:space="0" w:color="auto"/>
          </w:divBdr>
        </w:div>
        <w:div w:id="577247590">
          <w:marLeft w:val="806"/>
          <w:marRight w:val="0"/>
          <w:marTop w:val="60"/>
          <w:marBottom w:val="0"/>
          <w:divBdr>
            <w:top w:val="none" w:sz="0" w:space="0" w:color="auto"/>
            <w:left w:val="none" w:sz="0" w:space="0" w:color="auto"/>
            <w:bottom w:val="none" w:sz="0" w:space="0" w:color="auto"/>
            <w:right w:val="none" w:sz="0" w:space="0" w:color="auto"/>
          </w:divBdr>
        </w:div>
        <w:div w:id="827941756">
          <w:marLeft w:val="806"/>
          <w:marRight w:val="0"/>
          <w:marTop w:val="60"/>
          <w:marBottom w:val="0"/>
          <w:divBdr>
            <w:top w:val="none" w:sz="0" w:space="0" w:color="auto"/>
            <w:left w:val="none" w:sz="0" w:space="0" w:color="auto"/>
            <w:bottom w:val="none" w:sz="0" w:space="0" w:color="auto"/>
            <w:right w:val="none" w:sz="0" w:space="0" w:color="auto"/>
          </w:divBdr>
        </w:div>
        <w:div w:id="897975316">
          <w:marLeft w:val="274"/>
          <w:marRight w:val="0"/>
          <w:marTop w:val="60"/>
          <w:marBottom w:val="0"/>
          <w:divBdr>
            <w:top w:val="none" w:sz="0" w:space="0" w:color="auto"/>
            <w:left w:val="none" w:sz="0" w:space="0" w:color="auto"/>
            <w:bottom w:val="none" w:sz="0" w:space="0" w:color="auto"/>
            <w:right w:val="none" w:sz="0" w:space="0" w:color="auto"/>
          </w:divBdr>
        </w:div>
        <w:div w:id="1002899726">
          <w:marLeft w:val="806"/>
          <w:marRight w:val="0"/>
          <w:marTop w:val="60"/>
          <w:marBottom w:val="0"/>
          <w:divBdr>
            <w:top w:val="none" w:sz="0" w:space="0" w:color="auto"/>
            <w:left w:val="none" w:sz="0" w:space="0" w:color="auto"/>
            <w:bottom w:val="none" w:sz="0" w:space="0" w:color="auto"/>
            <w:right w:val="none" w:sz="0" w:space="0" w:color="auto"/>
          </w:divBdr>
        </w:div>
        <w:div w:id="1197624746">
          <w:marLeft w:val="806"/>
          <w:marRight w:val="0"/>
          <w:marTop w:val="60"/>
          <w:marBottom w:val="0"/>
          <w:divBdr>
            <w:top w:val="none" w:sz="0" w:space="0" w:color="auto"/>
            <w:left w:val="none" w:sz="0" w:space="0" w:color="auto"/>
            <w:bottom w:val="none" w:sz="0" w:space="0" w:color="auto"/>
            <w:right w:val="none" w:sz="0" w:space="0" w:color="auto"/>
          </w:divBdr>
        </w:div>
        <w:div w:id="1495149782">
          <w:marLeft w:val="274"/>
          <w:marRight w:val="0"/>
          <w:marTop w:val="60"/>
          <w:marBottom w:val="0"/>
          <w:divBdr>
            <w:top w:val="none" w:sz="0" w:space="0" w:color="auto"/>
            <w:left w:val="none" w:sz="0" w:space="0" w:color="auto"/>
            <w:bottom w:val="none" w:sz="0" w:space="0" w:color="auto"/>
            <w:right w:val="none" w:sz="0" w:space="0" w:color="auto"/>
          </w:divBdr>
        </w:div>
        <w:div w:id="1533037183">
          <w:marLeft w:val="806"/>
          <w:marRight w:val="0"/>
          <w:marTop w:val="60"/>
          <w:marBottom w:val="0"/>
          <w:divBdr>
            <w:top w:val="none" w:sz="0" w:space="0" w:color="auto"/>
            <w:left w:val="none" w:sz="0" w:space="0" w:color="auto"/>
            <w:bottom w:val="none" w:sz="0" w:space="0" w:color="auto"/>
            <w:right w:val="none" w:sz="0" w:space="0" w:color="auto"/>
          </w:divBdr>
        </w:div>
        <w:div w:id="1541242320">
          <w:marLeft w:val="806"/>
          <w:marRight w:val="0"/>
          <w:marTop w:val="60"/>
          <w:marBottom w:val="0"/>
          <w:divBdr>
            <w:top w:val="none" w:sz="0" w:space="0" w:color="auto"/>
            <w:left w:val="none" w:sz="0" w:space="0" w:color="auto"/>
            <w:bottom w:val="none" w:sz="0" w:space="0" w:color="auto"/>
            <w:right w:val="none" w:sz="0" w:space="0" w:color="auto"/>
          </w:divBdr>
        </w:div>
        <w:div w:id="1607804880">
          <w:marLeft w:val="806"/>
          <w:marRight w:val="0"/>
          <w:marTop w:val="60"/>
          <w:marBottom w:val="0"/>
          <w:divBdr>
            <w:top w:val="none" w:sz="0" w:space="0" w:color="auto"/>
            <w:left w:val="none" w:sz="0" w:space="0" w:color="auto"/>
            <w:bottom w:val="none" w:sz="0" w:space="0" w:color="auto"/>
            <w:right w:val="none" w:sz="0" w:space="0" w:color="auto"/>
          </w:divBdr>
        </w:div>
        <w:div w:id="1638953436">
          <w:marLeft w:val="806"/>
          <w:marRight w:val="0"/>
          <w:marTop w:val="60"/>
          <w:marBottom w:val="0"/>
          <w:divBdr>
            <w:top w:val="none" w:sz="0" w:space="0" w:color="auto"/>
            <w:left w:val="none" w:sz="0" w:space="0" w:color="auto"/>
            <w:bottom w:val="none" w:sz="0" w:space="0" w:color="auto"/>
            <w:right w:val="none" w:sz="0" w:space="0" w:color="auto"/>
          </w:divBdr>
        </w:div>
        <w:div w:id="1693726583">
          <w:marLeft w:val="806"/>
          <w:marRight w:val="0"/>
          <w:marTop w:val="60"/>
          <w:marBottom w:val="0"/>
          <w:divBdr>
            <w:top w:val="none" w:sz="0" w:space="0" w:color="auto"/>
            <w:left w:val="none" w:sz="0" w:space="0" w:color="auto"/>
            <w:bottom w:val="none" w:sz="0" w:space="0" w:color="auto"/>
            <w:right w:val="none" w:sz="0" w:space="0" w:color="auto"/>
          </w:divBdr>
        </w:div>
        <w:div w:id="1732652317">
          <w:marLeft w:val="806"/>
          <w:marRight w:val="0"/>
          <w:marTop w:val="60"/>
          <w:marBottom w:val="0"/>
          <w:divBdr>
            <w:top w:val="none" w:sz="0" w:space="0" w:color="auto"/>
            <w:left w:val="none" w:sz="0" w:space="0" w:color="auto"/>
            <w:bottom w:val="none" w:sz="0" w:space="0" w:color="auto"/>
            <w:right w:val="none" w:sz="0" w:space="0" w:color="auto"/>
          </w:divBdr>
        </w:div>
      </w:divsChild>
    </w:div>
    <w:div w:id="1870685136">
      <w:bodyDiv w:val="1"/>
      <w:marLeft w:val="0"/>
      <w:marRight w:val="0"/>
      <w:marTop w:val="0"/>
      <w:marBottom w:val="0"/>
      <w:divBdr>
        <w:top w:val="none" w:sz="0" w:space="0" w:color="auto"/>
        <w:left w:val="none" w:sz="0" w:space="0" w:color="auto"/>
        <w:bottom w:val="none" w:sz="0" w:space="0" w:color="auto"/>
        <w:right w:val="none" w:sz="0" w:space="0" w:color="auto"/>
      </w:divBdr>
    </w:div>
    <w:div w:id="1887177240">
      <w:bodyDiv w:val="1"/>
      <w:marLeft w:val="0"/>
      <w:marRight w:val="0"/>
      <w:marTop w:val="0"/>
      <w:marBottom w:val="0"/>
      <w:divBdr>
        <w:top w:val="none" w:sz="0" w:space="0" w:color="auto"/>
        <w:left w:val="none" w:sz="0" w:space="0" w:color="auto"/>
        <w:bottom w:val="none" w:sz="0" w:space="0" w:color="auto"/>
        <w:right w:val="none" w:sz="0" w:space="0" w:color="auto"/>
      </w:divBdr>
      <w:divsChild>
        <w:div w:id="92552617">
          <w:marLeft w:val="274"/>
          <w:marRight w:val="0"/>
          <w:marTop w:val="150"/>
          <w:marBottom w:val="0"/>
          <w:divBdr>
            <w:top w:val="none" w:sz="0" w:space="0" w:color="auto"/>
            <w:left w:val="none" w:sz="0" w:space="0" w:color="auto"/>
            <w:bottom w:val="none" w:sz="0" w:space="0" w:color="auto"/>
            <w:right w:val="none" w:sz="0" w:space="0" w:color="auto"/>
          </w:divBdr>
        </w:div>
        <w:div w:id="110787444">
          <w:marLeft w:val="806"/>
          <w:marRight w:val="0"/>
          <w:marTop w:val="75"/>
          <w:marBottom w:val="0"/>
          <w:divBdr>
            <w:top w:val="none" w:sz="0" w:space="0" w:color="auto"/>
            <w:left w:val="none" w:sz="0" w:space="0" w:color="auto"/>
            <w:bottom w:val="none" w:sz="0" w:space="0" w:color="auto"/>
            <w:right w:val="none" w:sz="0" w:space="0" w:color="auto"/>
          </w:divBdr>
        </w:div>
        <w:div w:id="155610042">
          <w:marLeft w:val="806"/>
          <w:marRight w:val="0"/>
          <w:marTop w:val="75"/>
          <w:marBottom w:val="0"/>
          <w:divBdr>
            <w:top w:val="none" w:sz="0" w:space="0" w:color="auto"/>
            <w:left w:val="none" w:sz="0" w:space="0" w:color="auto"/>
            <w:bottom w:val="none" w:sz="0" w:space="0" w:color="auto"/>
            <w:right w:val="none" w:sz="0" w:space="0" w:color="auto"/>
          </w:divBdr>
        </w:div>
        <w:div w:id="562764784">
          <w:marLeft w:val="274"/>
          <w:marRight w:val="0"/>
          <w:marTop w:val="150"/>
          <w:marBottom w:val="0"/>
          <w:divBdr>
            <w:top w:val="none" w:sz="0" w:space="0" w:color="auto"/>
            <w:left w:val="none" w:sz="0" w:space="0" w:color="auto"/>
            <w:bottom w:val="none" w:sz="0" w:space="0" w:color="auto"/>
            <w:right w:val="none" w:sz="0" w:space="0" w:color="auto"/>
          </w:divBdr>
        </w:div>
        <w:div w:id="729233942">
          <w:marLeft w:val="806"/>
          <w:marRight w:val="0"/>
          <w:marTop w:val="75"/>
          <w:marBottom w:val="0"/>
          <w:divBdr>
            <w:top w:val="none" w:sz="0" w:space="0" w:color="auto"/>
            <w:left w:val="none" w:sz="0" w:space="0" w:color="auto"/>
            <w:bottom w:val="none" w:sz="0" w:space="0" w:color="auto"/>
            <w:right w:val="none" w:sz="0" w:space="0" w:color="auto"/>
          </w:divBdr>
        </w:div>
        <w:div w:id="1115100023">
          <w:marLeft w:val="806"/>
          <w:marRight w:val="0"/>
          <w:marTop w:val="75"/>
          <w:marBottom w:val="0"/>
          <w:divBdr>
            <w:top w:val="none" w:sz="0" w:space="0" w:color="auto"/>
            <w:left w:val="none" w:sz="0" w:space="0" w:color="auto"/>
            <w:bottom w:val="none" w:sz="0" w:space="0" w:color="auto"/>
            <w:right w:val="none" w:sz="0" w:space="0" w:color="auto"/>
          </w:divBdr>
        </w:div>
        <w:div w:id="1650357062">
          <w:marLeft w:val="806"/>
          <w:marRight w:val="0"/>
          <w:marTop w:val="75"/>
          <w:marBottom w:val="0"/>
          <w:divBdr>
            <w:top w:val="none" w:sz="0" w:space="0" w:color="auto"/>
            <w:left w:val="none" w:sz="0" w:space="0" w:color="auto"/>
            <w:bottom w:val="none" w:sz="0" w:space="0" w:color="auto"/>
            <w:right w:val="none" w:sz="0" w:space="0" w:color="auto"/>
          </w:divBdr>
        </w:div>
        <w:div w:id="1681614968">
          <w:marLeft w:val="274"/>
          <w:marRight w:val="0"/>
          <w:marTop w:val="150"/>
          <w:marBottom w:val="0"/>
          <w:divBdr>
            <w:top w:val="none" w:sz="0" w:space="0" w:color="auto"/>
            <w:left w:val="none" w:sz="0" w:space="0" w:color="auto"/>
            <w:bottom w:val="none" w:sz="0" w:space="0" w:color="auto"/>
            <w:right w:val="none" w:sz="0" w:space="0" w:color="auto"/>
          </w:divBdr>
        </w:div>
        <w:div w:id="1733306506">
          <w:marLeft w:val="1354"/>
          <w:marRight w:val="0"/>
          <w:marTop w:val="75"/>
          <w:marBottom w:val="0"/>
          <w:divBdr>
            <w:top w:val="none" w:sz="0" w:space="0" w:color="auto"/>
            <w:left w:val="none" w:sz="0" w:space="0" w:color="auto"/>
            <w:bottom w:val="none" w:sz="0" w:space="0" w:color="auto"/>
            <w:right w:val="none" w:sz="0" w:space="0" w:color="auto"/>
          </w:divBdr>
        </w:div>
        <w:div w:id="1806389266">
          <w:marLeft w:val="806"/>
          <w:marRight w:val="0"/>
          <w:marTop w:val="75"/>
          <w:marBottom w:val="0"/>
          <w:divBdr>
            <w:top w:val="none" w:sz="0" w:space="0" w:color="auto"/>
            <w:left w:val="none" w:sz="0" w:space="0" w:color="auto"/>
            <w:bottom w:val="none" w:sz="0" w:space="0" w:color="auto"/>
            <w:right w:val="none" w:sz="0" w:space="0" w:color="auto"/>
          </w:divBdr>
        </w:div>
        <w:div w:id="1811702006">
          <w:marLeft w:val="806"/>
          <w:marRight w:val="0"/>
          <w:marTop w:val="75"/>
          <w:marBottom w:val="0"/>
          <w:divBdr>
            <w:top w:val="none" w:sz="0" w:space="0" w:color="auto"/>
            <w:left w:val="none" w:sz="0" w:space="0" w:color="auto"/>
            <w:bottom w:val="none" w:sz="0" w:space="0" w:color="auto"/>
            <w:right w:val="none" w:sz="0" w:space="0" w:color="auto"/>
          </w:divBdr>
        </w:div>
        <w:div w:id="1945266683">
          <w:marLeft w:val="806"/>
          <w:marRight w:val="0"/>
          <w:marTop w:val="75"/>
          <w:marBottom w:val="0"/>
          <w:divBdr>
            <w:top w:val="none" w:sz="0" w:space="0" w:color="auto"/>
            <w:left w:val="none" w:sz="0" w:space="0" w:color="auto"/>
            <w:bottom w:val="none" w:sz="0" w:space="0" w:color="auto"/>
            <w:right w:val="none" w:sz="0" w:space="0" w:color="auto"/>
          </w:divBdr>
        </w:div>
        <w:div w:id="1953126259">
          <w:marLeft w:val="1354"/>
          <w:marRight w:val="0"/>
          <w:marTop w:val="75"/>
          <w:marBottom w:val="0"/>
          <w:divBdr>
            <w:top w:val="none" w:sz="0" w:space="0" w:color="auto"/>
            <w:left w:val="none" w:sz="0" w:space="0" w:color="auto"/>
            <w:bottom w:val="none" w:sz="0" w:space="0" w:color="auto"/>
            <w:right w:val="none" w:sz="0" w:space="0" w:color="auto"/>
          </w:divBdr>
        </w:div>
        <w:div w:id="2070221336">
          <w:marLeft w:val="806"/>
          <w:marRight w:val="0"/>
          <w:marTop w:val="75"/>
          <w:marBottom w:val="0"/>
          <w:divBdr>
            <w:top w:val="none" w:sz="0" w:space="0" w:color="auto"/>
            <w:left w:val="none" w:sz="0" w:space="0" w:color="auto"/>
            <w:bottom w:val="none" w:sz="0" w:space="0" w:color="auto"/>
            <w:right w:val="none" w:sz="0" w:space="0" w:color="auto"/>
          </w:divBdr>
        </w:div>
        <w:div w:id="2071879765">
          <w:marLeft w:val="806"/>
          <w:marRight w:val="0"/>
          <w:marTop w:val="75"/>
          <w:marBottom w:val="0"/>
          <w:divBdr>
            <w:top w:val="none" w:sz="0" w:space="0" w:color="auto"/>
            <w:left w:val="none" w:sz="0" w:space="0" w:color="auto"/>
            <w:bottom w:val="none" w:sz="0" w:space="0" w:color="auto"/>
            <w:right w:val="none" w:sz="0" w:space="0" w:color="auto"/>
          </w:divBdr>
        </w:div>
      </w:divsChild>
    </w:div>
    <w:div w:id="1899048301">
      <w:bodyDiv w:val="1"/>
      <w:marLeft w:val="0"/>
      <w:marRight w:val="0"/>
      <w:marTop w:val="0"/>
      <w:marBottom w:val="0"/>
      <w:divBdr>
        <w:top w:val="none" w:sz="0" w:space="0" w:color="auto"/>
        <w:left w:val="none" w:sz="0" w:space="0" w:color="auto"/>
        <w:bottom w:val="none" w:sz="0" w:space="0" w:color="auto"/>
        <w:right w:val="none" w:sz="0" w:space="0" w:color="auto"/>
      </w:divBdr>
    </w:div>
    <w:div w:id="1923290875">
      <w:bodyDiv w:val="1"/>
      <w:marLeft w:val="0"/>
      <w:marRight w:val="0"/>
      <w:marTop w:val="0"/>
      <w:marBottom w:val="0"/>
      <w:divBdr>
        <w:top w:val="none" w:sz="0" w:space="0" w:color="auto"/>
        <w:left w:val="none" w:sz="0" w:space="0" w:color="auto"/>
        <w:bottom w:val="none" w:sz="0" w:space="0" w:color="auto"/>
        <w:right w:val="none" w:sz="0" w:space="0" w:color="auto"/>
      </w:divBdr>
    </w:div>
    <w:div w:id="1957517530">
      <w:bodyDiv w:val="1"/>
      <w:marLeft w:val="0"/>
      <w:marRight w:val="0"/>
      <w:marTop w:val="0"/>
      <w:marBottom w:val="0"/>
      <w:divBdr>
        <w:top w:val="none" w:sz="0" w:space="0" w:color="auto"/>
        <w:left w:val="none" w:sz="0" w:space="0" w:color="auto"/>
        <w:bottom w:val="none" w:sz="0" w:space="0" w:color="auto"/>
        <w:right w:val="none" w:sz="0" w:space="0" w:color="auto"/>
      </w:divBdr>
    </w:div>
    <w:div w:id="1979266507">
      <w:bodyDiv w:val="1"/>
      <w:marLeft w:val="0"/>
      <w:marRight w:val="0"/>
      <w:marTop w:val="0"/>
      <w:marBottom w:val="0"/>
      <w:divBdr>
        <w:top w:val="none" w:sz="0" w:space="0" w:color="auto"/>
        <w:left w:val="none" w:sz="0" w:space="0" w:color="auto"/>
        <w:bottom w:val="none" w:sz="0" w:space="0" w:color="auto"/>
        <w:right w:val="none" w:sz="0" w:space="0" w:color="auto"/>
      </w:divBdr>
    </w:div>
    <w:div w:id="2003241116">
      <w:bodyDiv w:val="1"/>
      <w:marLeft w:val="0"/>
      <w:marRight w:val="0"/>
      <w:marTop w:val="0"/>
      <w:marBottom w:val="0"/>
      <w:divBdr>
        <w:top w:val="none" w:sz="0" w:space="0" w:color="auto"/>
        <w:left w:val="none" w:sz="0" w:space="0" w:color="auto"/>
        <w:bottom w:val="none" w:sz="0" w:space="0" w:color="auto"/>
        <w:right w:val="none" w:sz="0" w:space="0" w:color="auto"/>
      </w:divBdr>
    </w:div>
    <w:div w:id="2025861361">
      <w:bodyDiv w:val="1"/>
      <w:marLeft w:val="0"/>
      <w:marRight w:val="0"/>
      <w:marTop w:val="0"/>
      <w:marBottom w:val="0"/>
      <w:divBdr>
        <w:top w:val="none" w:sz="0" w:space="0" w:color="auto"/>
        <w:left w:val="none" w:sz="0" w:space="0" w:color="auto"/>
        <w:bottom w:val="none" w:sz="0" w:space="0" w:color="auto"/>
        <w:right w:val="none" w:sz="0" w:space="0" w:color="auto"/>
      </w:divBdr>
    </w:div>
    <w:div w:id="2035496387">
      <w:bodyDiv w:val="1"/>
      <w:marLeft w:val="0"/>
      <w:marRight w:val="0"/>
      <w:marTop w:val="0"/>
      <w:marBottom w:val="0"/>
      <w:divBdr>
        <w:top w:val="none" w:sz="0" w:space="0" w:color="auto"/>
        <w:left w:val="none" w:sz="0" w:space="0" w:color="auto"/>
        <w:bottom w:val="none" w:sz="0" w:space="0" w:color="auto"/>
        <w:right w:val="none" w:sz="0" w:space="0" w:color="auto"/>
      </w:divBdr>
    </w:div>
    <w:div w:id="2039308329">
      <w:bodyDiv w:val="1"/>
      <w:marLeft w:val="0"/>
      <w:marRight w:val="0"/>
      <w:marTop w:val="0"/>
      <w:marBottom w:val="0"/>
      <w:divBdr>
        <w:top w:val="none" w:sz="0" w:space="0" w:color="auto"/>
        <w:left w:val="none" w:sz="0" w:space="0" w:color="auto"/>
        <w:bottom w:val="none" w:sz="0" w:space="0" w:color="auto"/>
        <w:right w:val="none" w:sz="0" w:space="0" w:color="auto"/>
      </w:divBdr>
    </w:div>
    <w:div w:id="2054310499">
      <w:bodyDiv w:val="1"/>
      <w:marLeft w:val="0"/>
      <w:marRight w:val="0"/>
      <w:marTop w:val="0"/>
      <w:marBottom w:val="0"/>
      <w:divBdr>
        <w:top w:val="none" w:sz="0" w:space="0" w:color="auto"/>
        <w:left w:val="none" w:sz="0" w:space="0" w:color="auto"/>
        <w:bottom w:val="none" w:sz="0" w:space="0" w:color="auto"/>
        <w:right w:val="none" w:sz="0" w:space="0" w:color="auto"/>
      </w:divBdr>
    </w:div>
    <w:div w:id="2068916627">
      <w:bodyDiv w:val="1"/>
      <w:marLeft w:val="0"/>
      <w:marRight w:val="0"/>
      <w:marTop w:val="0"/>
      <w:marBottom w:val="0"/>
      <w:divBdr>
        <w:top w:val="none" w:sz="0" w:space="0" w:color="auto"/>
        <w:left w:val="none" w:sz="0" w:space="0" w:color="auto"/>
        <w:bottom w:val="none" w:sz="0" w:space="0" w:color="auto"/>
        <w:right w:val="none" w:sz="0" w:space="0" w:color="auto"/>
      </w:divBdr>
    </w:div>
    <w:div w:id="2077122467">
      <w:bodyDiv w:val="1"/>
      <w:marLeft w:val="0"/>
      <w:marRight w:val="0"/>
      <w:marTop w:val="0"/>
      <w:marBottom w:val="0"/>
      <w:divBdr>
        <w:top w:val="none" w:sz="0" w:space="0" w:color="auto"/>
        <w:left w:val="none" w:sz="0" w:space="0" w:color="auto"/>
        <w:bottom w:val="none" w:sz="0" w:space="0" w:color="auto"/>
        <w:right w:val="none" w:sz="0" w:space="0" w:color="auto"/>
      </w:divBdr>
    </w:div>
    <w:div w:id="2080512404">
      <w:bodyDiv w:val="1"/>
      <w:marLeft w:val="0"/>
      <w:marRight w:val="0"/>
      <w:marTop w:val="0"/>
      <w:marBottom w:val="0"/>
      <w:divBdr>
        <w:top w:val="none" w:sz="0" w:space="0" w:color="auto"/>
        <w:left w:val="none" w:sz="0" w:space="0" w:color="auto"/>
        <w:bottom w:val="none" w:sz="0" w:space="0" w:color="auto"/>
        <w:right w:val="none" w:sz="0" w:space="0" w:color="auto"/>
      </w:divBdr>
    </w:div>
    <w:div w:id="2114085209">
      <w:bodyDiv w:val="1"/>
      <w:marLeft w:val="0"/>
      <w:marRight w:val="0"/>
      <w:marTop w:val="0"/>
      <w:marBottom w:val="0"/>
      <w:divBdr>
        <w:top w:val="none" w:sz="0" w:space="0" w:color="auto"/>
        <w:left w:val="none" w:sz="0" w:space="0" w:color="auto"/>
        <w:bottom w:val="none" w:sz="0" w:space="0" w:color="auto"/>
        <w:right w:val="none" w:sz="0" w:space="0" w:color="auto"/>
      </w:divBdr>
    </w:div>
    <w:div w:id="2136176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mailto:emobility@pcreee.org"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4.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google.at/url?sa=i&amp;url=https://www.entwicklung.at/fileadmin/user_upload/EN_Visibility_Guidelines.pdf&amp;psig=AOvVaw1bm_B5PUF3Ut262_tR3bn_&amp;ust=1585692526000000&amp;source=images&amp;cd=vfe&amp;ved=0CAIQjRxqFwoTCNCv2NCaw-gCFQAAAAAdAAAAABAE" TargetMode="External"/><Relationship Id="rId20" Type="http://schemas.openxmlformats.org/officeDocument/2006/relationships/image" Target="media/image9.png"/><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png"/><Relationship Id="rId28" Type="http://schemas.openxmlformats.org/officeDocument/2006/relationships/image" Target="media/image16.emf"/><Relationship Id="rId10" Type="http://schemas.openxmlformats.org/officeDocument/2006/relationships/image" Target="media/image2.png"/><Relationship Id="rId19" Type="http://schemas.openxmlformats.org/officeDocument/2006/relationships/hyperlink" Target="mailto:emobility@gn-sec.net" TargetMode="External"/><Relationship Id="rId31" Type="http://schemas.openxmlformats.org/officeDocument/2006/relationships/image" Target="media/image19.emf"/><Relationship Id="rId4" Type="http://schemas.openxmlformats.org/officeDocument/2006/relationships/settings" Target="settings.xml"/><Relationship Id="rId9" Type="http://schemas.openxmlformats.org/officeDocument/2006/relationships/hyperlink" Target="https://www.google.at/url?sa=i&amp;url=https://www.impactpool.org/organizations/spc-pacific-community&amp;psig=AOvVaw07EVxg0hn-k6WfcmyQtPrL&amp;ust=1585692121757000&amp;source=images&amp;cd=vfe&amp;ved=0CAIQjRxqFwoTCMi0wpCZw-gCFQAAAAAdAAAAABAD" TargetMode="External"/><Relationship Id="rId14" Type="http://schemas.openxmlformats.org/officeDocument/2006/relationships/image" Target="media/image6.jpeg"/><Relationship Id="rId22" Type="http://schemas.openxmlformats.org/officeDocument/2006/relationships/image" Target="media/image11.png"/><Relationship Id="rId27" Type="http://schemas.openxmlformats.org/officeDocument/2006/relationships/image" Target="media/image15.emf"/><Relationship Id="rId30" Type="http://schemas.openxmlformats.org/officeDocument/2006/relationships/image" Target="media/image18.emf"/><Relationship Id="rId8" Type="http://schemas.openxmlformats.org/officeDocument/2006/relationships/image" Target="media/image1.jpeg"/></Relationships>
</file>

<file path=word/_rels/footnotes.xml.rels><?xml version="1.0" encoding="UTF-8" standalone="yes"?>
<Relationships xmlns="http://schemas.openxmlformats.org/package/2006/relationships"><Relationship Id="rId3" Type="http://schemas.openxmlformats.org/officeDocument/2006/relationships/hyperlink" Target="https://www.eeca.govt.nz/news-and-events/media-releases/booklet-answers-common-electric-vehicle-questions/" TargetMode="External"/><Relationship Id="rId2" Type="http://schemas.openxmlformats.org/officeDocument/2006/relationships/hyperlink" Target="http://www.gn-sec.net" TargetMode="External"/><Relationship Id="rId1" Type="http://schemas.openxmlformats.org/officeDocument/2006/relationships/hyperlink" Target="http://www.gn-sec.net" TargetMode="External"/><Relationship Id="rId6" Type="http://schemas.openxmlformats.org/officeDocument/2006/relationships/hyperlink" Target="http://www.seiapi.com/guidelines/" TargetMode="External"/><Relationship Id="rId5" Type="http://schemas.openxmlformats.org/officeDocument/2006/relationships/hyperlink" Target="https://theicct.org/sites/default/files/publications/India_EV_State_Guidebook_20191007.pdf" TargetMode="External"/><Relationship Id="rId4" Type="http://schemas.openxmlformats.org/officeDocument/2006/relationships/hyperlink" Target="https://www.energywise.govt.nz/on-the-road/electric-vehicles/ev-charg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1A51FA-0224-4AEF-B965-5035520505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8177</Words>
  <Characters>46615</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Campbell</dc:creator>
  <cp:keywords/>
  <dc:description/>
  <cp:lastModifiedBy>Andrew Campbell</cp:lastModifiedBy>
  <cp:revision>2</cp:revision>
  <dcterms:created xsi:type="dcterms:W3CDTF">2020-04-21T10:06:00Z</dcterms:created>
  <dcterms:modified xsi:type="dcterms:W3CDTF">2020-04-21T10:06:00Z</dcterms:modified>
</cp:coreProperties>
</file>